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74DBC6">
      <w:pPr>
        <w:pStyle w:val="71"/>
        <w:jc w:val="right"/>
        <w:rPr>
          <w:highlight w:val="none"/>
        </w:rPr>
        <w:sectPr>
          <w:headerReference r:id="rId5" w:type="first"/>
          <w:footerReference r:id="rId6" w:type="first"/>
          <w:headerReference r:id="rId3" w:type="default"/>
          <w:headerReference r:id="rId4" w:type="even"/>
          <w:pgSz w:w="11907" w:h="16839"/>
          <w:pgMar w:top="567" w:right="851" w:bottom="1361" w:left="1418" w:header="0" w:footer="0" w:gutter="0"/>
          <w:pgNumType w:start="1"/>
          <w:cols w:space="720" w:num="1"/>
          <w:titlePg/>
          <w:docGrid w:type="lines" w:linePitch="312" w:charSpace="0"/>
        </w:sectPr>
      </w:pPr>
      <w:bookmarkStart w:id="0" w:name="SectionMark2"/>
      <w:r>
        <w:rPr>
          <w:rFonts w:hint="eastAsia"/>
          <w:highlight w:val="none"/>
        </w:rPr>
        <mc:AlternateContent>
          <mc:Choice Requires="wps">
            <w:drawing>
              <wp:anchor distT="0" distB="0" distL="114300" distR="114300" simplePos="0" relativeHeight="251669504" behindDoc="0" locked="1" layoutInCell="1" allowOverlap="1">
                <wp:simplePos x="0" y="0"/>
                <wp:positionH relativeFrom="column">
                  <wp:posOffset>29210</wp:posOffset>
                </wp:positionH>
                <wp:positionV relativeFrom="page">
                  <wp:posOffset>9289415</wp:posOffset>
                </wp:positionV>
                <wp:extent cx="6120130" cy="0"/>
                <wp:effectExtent l="0" t="0" r="0" b="0"/>
                <wp:wrapNone/>
                <wp:docPr id="17" name="直接连接符 6"/>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6" o:spid="_x0000_s1026" o:spt="20" style="position:absolute;left:0pt;margin-left:2.3pt;margin-top:731.45pt;height:0pt;width:481.9pt;mso-position-vertical-relative:page;z-index:251669504;mso-width-relative:page;mso-height-relative:page;" filled="f" stroked="t" coordsize="21600,21600" o:gfxdata="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WU&#10;/9LWAAAACwEAAA8AAAAAAAAAAQAgAAAAIgAAAGRycy9kb3ducmV2LnhtbFBLAQIUABQAAAAIAIdO&#10;4kBErGPk7AEAANkDAAAOAAAAAAAAAAEAIAAAACUBAABkcnMvZTJvRG9jLnhtbFBLBQYAAAAABgAG&#10;AFkBAACDBQAAAAA=&#10;">
                <v:fill on="f" focussize="0,0"/>
                <v:stroke color="#000000" joinstyle="round"/>
                <v:imagedata o:title=""/>
                <o:lock v:ext="edit" aspectratio="f"/>
                <w10:anchorlock/>
              </v:line>
            </w:pict>
          </mc:Fallback>
        </mc:AlternateContent>
      </w:r>
      <w:r>
        <w:rPr>
          <w:rFonts w:hint="eastAsia" w:ascii="黑体" w:hAnsi="黑体" w:eastAsia="黑体" w:cs="黑体"/>
          <w:sz w:val="28"/>
          <w:highlight w:val="none"/>
        </w:rPr>
        <mc:AlternateContent>
          <mc:Choice Requires="wps">
            <w:drawing>
              <wp:anchor distT="0" distB="0" distL="114300" distR="114300" simplePos="0" relativeHeight="251668480" behindDoc="0" locked="0" layoutInCell="1" allowOverlap="1">
                <wp:simplePos x="0" y="0"/>
                <wp:positionH relativeFrom="column">
                  <wp:posOffset>-8890</wp:posOffset>
                </wp:positionH>
                <wp:positionV relativeFrom="paragraph">
                  <wp:posOffset>2286000</wp:posOffset>
                </wp:positionV>
                <wp:extent cx="6120130" cy="0"/>
                <wp:effectExtent l="0" t="0" r="0" b="0"/>
                <wp:wrapNone/>
                <wp:docPr id="16" name="直接连接符 9"/>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9" o:spid="_x0000_s1026" o:spt="20" style="position:absolute;left:0pt;margin-left:-0.7pt;margin-top:180pt;height:0pt;width:481.9pt;z-index:251668480;mso-width-relative:page;mso-height-relative:page;" filled="f" stroked="t" coordsize="21600,21600" o:gfxdata="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6ky3&#10;69UAAAAKAQAADwAAAAAAAAABACAAAAAiAAAAZHJzL2Rvd25yZXYueG1sUEsBAhQAFAAAAAgAh07i&#10;QE73IyDsAQAA2QMAAA4AAAAAAAAAAQAgAAAAJAEAAGRycy9lMm9Eb2MueG1sUEsFBgAAAAAGAAYA&#10;WQEAAIIFAAAAAA==&#10;">
                <v:fill on="f" focussize="0,0"/>
                <v:stroke color="#000000" joinstyle="round"/>
                <v:imagedata o:title=""/>
                <o:lock v:ext="edit" aspectratio="f"/>
              </v:line>
            </w:pict>
          </mc:Fallback>
        </mc:AlternateContent>
      </w:r>
      <w:r>
        <w:rPr>
          <w:highlight w:val="none"/>
        </w:rPr>
        <mc:AlternateContent>
          <mc:Choice Requires="wps">
            <w:drawing>
              <wp:anchor distT="0" distB="0" distL="114300" distR="114300" simplePos="0" relativeHeight="251667456" behindDoc="0" locked="1" layoutInCell="1" allowOverlap="1">
                <wp:simplePos x="0" y="0"/>
                <wp:positionH relativeFrom="margin">
                  <wp:posOffset>0</wp:posOffset>
                </wp:positionH>
                <wp:positionV relativeFrom="margin">
                  <wp:posOffset>0</wp:posOffset>
                </wp:positionV>
                <wp:extent cx="2540000" cy="657860"/>
                <wp:effectExtent l="0" t="0" r="0" b="0"/>
                <wp:wrapNone/>
                <wp:docPr id="15" name="fmFrame1"/>
                <wp:cNvGraphicFramePr/>
                <a:graphic xmlns:a="http://schemas.openxmlformats.org/drawingml/2006/main">
                  <a:graphicData uri="http://schemas.microsoft.com/office/word/2010/wordprocessingShape">
                    <wps:wsp>
                      <wps:cNvSpPr txBox="1"/>
                      <wps:spPr bwMode="auto">
                        <a:xfrm>
                          <a:off x="0" y="0"/>
                          <a:ext cx="2540000" cy="657860"/>
                        </a:xfrm>
                        <a:prstGeom prst="rect">
                          <a:avLst/>
                        </a:prstGeom>
                        <a:solidFill>
                          <a:srgbClr val="FFFFFF"/>
                        </a:solidFill>
                        <a:ln>
                          <a:noFill/>
                        </a:ln>
                      </wps:spPr>
                      <wps:txbx>
                        <w:txbxContent>
                          <w:p w14:paraId="0424D3B2">
                            <w:pPr>
                              <w:pStyle w:val="71"/>
                              <w:adjustRightInd w:val="0"/>
                              <w:snapToGrid w:val="0"/>
                              <w:rPr>
                                <w:rFonts w:hint="eastAsia" w:ascii="黑体" w:hAnsi="黑体" w:eastAsia="黑体" w:cs="黑体"/>
                                <w:sz w:val="21"/>
                                <w:szCs w:val="21"/>
                              </w:rPr>
                            </w:pPr>
                            <w:r>
                              <w:rPr>
                                <w:rFonts w:hint="eastAsia" w:ascii="黑体" w:hAnsi="黑体" w:eastAsia="黑体" w:cs="黑体"/>
                                <w:sz w:val="21"/>
                                <w:szCs w:val="21"/>
                              </w:rPr>
                              <w:t xml:space="preserve">ICS </w:t>
                            </w:r>
                            <w:r>
                              <w:rPr>
                                <w:rFonts w:ascii="黑体"/>
                                <w:sz w:val="21"/>
                              </w:rPr>
                              <w:t>71.100.70</w:t>
                            </w:r>
                            <w:r>
                              <w:rPr>
                                <w:rFonts w:hint="eastAsia" w:ascii="黑体" w:hAnsi="黑体" w:eastAsia="黑体" w:cs="黑体"/>
                                <w:sz w:val="21"/>
                                <w:szCs w:val="21"/>
                              </w:rPr>
                              <w:t xml:space="preserve">                                                   </w:t>
                            </w:r>
                          </w:p>
                          <w:p w14:paraId="4461E1DC">
                            <w:pPr>
                              <w:pStyle w:val="71"/>
                              <w:adjustRightInd w:val="0"/>
                              <w:snapToGrid w:val="0"/>
                              <w:rPr>
                                <w:rFonts w:hint="eastAsia" w:ascii="黑体" w:hAnsi="黑体" w:eastAsia="黑体" w:cs="黑体"/>
                                <w:sz w:val="21"/>
                                <w:szCs w:val="21"/>
                              </w:rPr>
                            </w:pPr>
                            <w:r>
                              <w:rPr>
                                <w:rFonts w:hint="eastAsia" w:ascii="黑体" w:hAnsi="黑体" w:eastAsia="黑体" w:cs="黑体"/>
                                <w:sz w:val="21"/>
                                <w:szCs w:val="21"/>
                              </w:rPr>
                              <w:t>CCS Y 42</w:t>
                            </w:r>
                          </w:p>
                          <w:p w14:paraId="29818C55">
                            <w:pPr>
                              <w:rPr>
                                <w:rFonts w:hint="eastAsia"/>
                              </w:rPr>
                            </w:pPr>
                          </w:p>
                        </w:txbxContent>
                      </wps:txbx>
                      <wps:bodyPr rot="0" vert="horz" wrap="square" lIns="0" tIns="0" rIns="0" bIns="0" anchor="t" anchorCtr="0" upright="1">
                        <a:noAutofit/>
                      </wps:bodyPr>
                    </wps:wsp>
                  </a:graphicData>
                </a:graphic>
              </wp:anchor>
            </w:drawing>
          </mc:Choice>
          <mc:Fallback>
            <w:pict>
              <v:shape id="fmFrame1" o:spid="_x0000_s1026" o:spt="202" type="#_x0000_t202" style="position:absolute;left:0pt;margin-left:0pt;margin-top:0pt;height:51.8pt;width:200pt;mso-position-horizontal-relative:margin;mso-position-vertical-relative:margin;z-index:251667456;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F7Mvg0wAAAAUBAAAPAAAAAAAAAAEAIAAAACIAAABkcnMvZG93bnJldi54bWxQSwECFAAU&#10;AAAACACHTuJAelyZtfYBAAD8AwAADgAAAAAAAAABACAAAAAiAQAAZHJzL2Uyb0RvYy54bWxQSwUG&#10;AAAAAAYABgBZAQAAigUAAAAA&#10;">
                <v:fill on="t" focussize="0,0"/>
                <v:stroke on="f"/>
                <v:imagedata o:title=""/>
                <o:lock v:ext="edit" aspectratio="f"/>
                <v:textbox inset="0mm,0mm,0mm,0mm">
                  <w:txbxContent>
                    <w:p w14:paraId="0424D3B2">
                      <w:pPr>
                        <w:pStyle w:val="71"/>
                        <w:adjustRightInd w:val="0"/>
                        <w:snapToGrid w:val="0"/>
                        <w:rPr>
                          <w:rFonts w:hint="eastAsia" w:ascii="黑体" w:hAnsi="黑体" w:eastAsia="黑体" w:cs="黑体"/>
                          <w:sz w:val="21"/>
                          <w:szCs w:val="21"/>
                        </w:rPr>
                      </w:pPr>
                      <w:r>
                        <w:rPr>
                          <w:rFonts w:hint="eastAsia" w:ascii="黑体" w:hAnsi="黑体" w:eastAsia="黑体" w:cs="黑体"/>
                          <w:sz w:val="21"/>
                          <w:szCs w:val="21"/>
                        </w:rPr>
                        <w:t xml:space="preserve">ICS </w:t>
                      </w:r>
                      <w:r>
                        <w:rPr>
                          <w:rFonts w:ascii="黑体"/>
                          <w:sz w:val="21"/>
                        </w:rPr>
                        <w:t>71.100.70</w:t>
                      </w:r>
                      <w:r>
                        <w:rPr>
                          <w:rFonts w:hint="eastAsia" w:ascii="黑体" w:hAnsi="黑体" w:eastAsia="黑体" w:cs="黑体"/>
                          <w:sz w:val="21"/>
                          <w:szCs w:val="21"/>
                        </w:rPr>
                        <w:t xml:space="preserve">                                                   </w:t>
                      </w:r>
                    </w:p>
                    <w:p w14:paraId="4461E1DC">
                      <w:pPr>
                        <w:pStyle w:val="71"/>
                        <w:adjustRightInd w:val="0"/>
                        <w:snapToGrid w:val="0"/>
                        <w:rPr>
                          <w:rFonts w:hint="eastAsia" w:ascii="黑体" w:hAnsi="黑体" w:eastAsia="黑体" w:cs="黑体"/>
                          <w:sz w:val="21"/>
                          <w:szCs w:val="21"/>
                        </w:rPr>
                      </w:pPr>
                      <w:r>
                        <w:rPr>
                          <w:rFonts w:hint="eastAsia" w:ascii="黑体" w:hAnsi="黑体" w:eastAsia="黑体" w:cs="黑体"/>
                          <w:sz w:val="21"/>
                          <w:szCs w:val="21"/>
                        </w:rPr>
                        <w:t>CCS Y 42</w:t>
                      </w:r>
                    </w:p>
                    <w:p w14:paraId="29818C55">
                      <w:pPr>
                        <w:rPr>
                          <w:rFonts w:hint="eastAsia"/>
                        </w:rPr>
                      </w:pPr>
                    </w:p>
                  </w:txbxContent>
                </v:textbox>
                <w10:anchorlock/>
              </v:shape>
            </w:pict>
          </mc:Fallback>
        </mc:AlternateContent>
      </w:r>
      <w:r>
        <w:rPr>
          <w:highlight w:val="none"/>
        </w:rPr>
        <mc:AlternateContent>
          <mc:Choice Requires="wps">
            <w:drawing>
              <wp:anchor distT="0" distB="0" distL="114300" distR="114300" simplePos="0" relativeHeight="251665408" behindDoc="0" locked="0" layoutInCell="0" allowOverlap="1">
                <wp:simplePos x="0" y="0"/>
                <wp:positionH relativeFrom="column">
                  <wp:posOffset>0</wp:posOffset>
                </wp:positionH>
                <wp:positionV relativeFrom="paragraph">
                  <wp:posOffset>8890000</wp:posOffset>
                </wp:positionV>
                <wp:extent cx="6121400" cy="0"/>
                <wp:effectExtent l="0" t="0" r="0" b="0"/>
                <wp:wrapNone/>
                <wp:docPr id="13" name="直线 33"/>
                <wp:cNvGraphicFramePr/>
                <a:graphic xmlns:a="http://schemas.openxmlformats.org/drawingml/2006/main">
                  <a:graphicData uri="http://schemas.microsoft.com/office/word/2010/wordprocessingShape">
                    <wps:wsp>
                      <wps:cNvCnPr/>
                      <wps:spPr bwMode="auto">
                        <a:xfrm>
                          <a:off x="0" y="0"/>
                          <a:ext cx="6121400" cy="0"/>
                        </a:xfrm>
                        <a:prstGeom prst="line">
                          <a:avLst/>
                        </a:prstGeom>
                        <a:noFill/>
                        <a:ln w="12700" cmpd="sng">
                          <a:solidFill>
                            <a:srgbClr val="FFFFFF"/>
                          </a:solidFill>
                          <a:round/>
                        </a:ln>
                      </wps:spPr>
                      <wps:bodyPr/>
                    </wps:wsp>
                  </a:graphicData>
                </a:graphic>
              </wp:anchor>
            </w:drawing>
          </mc:Choice>
          <mc:Fallback>
            <w:pict>
              <v:line id="直线 33" o:spid="_x0000_s1026" o:spt="20" style="position:absolute;left:0pt;margin-left:0pt;margin-top:700pt;height:0pt;width:482pt;z-index:251665408;mso-width-relative:page;mso-height-relative:page;" filled="f" stroked="t" coordsize="21600,21600" o:allowincell="f" o:gfxdata="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2GrA71AAAAAoBAAAPAAAAAAAAAAEAIAAAACIAAABkcnMvZG93bnJldi54bWxQ&#10;SwECFAAUAAAACACHTuJA/NKpkcIBAAB9AwAADgAAAAAAAAABACAAAAAjAQAAZHJzL2Uyb0RvYy54&#10;bWxQSwUGAAAAAAYABgBZAQAAVwUAAAAA&#10;">
                <v:fill on="f" focussize="0,0"/>
                <v:stroke weight="1pt" color="#FFFFFF" joinstyle="round"/>
                <v:imagedata o:title=""/>
                <o:lock v:ext="edit" aspectratio="f"/>
              </v:line>
            </w:pict>
          </mc:Fallback>
        </mc:AlternateContent>
      </w:r>
      <w:r>
        <w:rPr>
          <w:highlight w:val="none"/>
        </w:rPr>
        <mc:AlternateContent>
          <mc:Choice Requires="wps">
            <w:drawing>
              <wp:anchor distT="0" distB="0" distL="114300" distR="114300" simplePos="0" relativeHeight="251666432" behindDoc="0" locked="0" layoutInCell="0" allowOverlap="1">
                <wp:simplePos x="0" y="0"/>
                <wp:positionH relativeFrom="column">
                  <wp:posOffset>0</wp:posOffset>
                </wp:positionH>
                <wp:positionV relativeFrom="paragraph">
                  <wp:posOffset>2273300</wp:posOffset>
                </wp:positionV>
                <wp:extent cx="6121400" cy="0"/>
                <wp:effectExtent l="0" t="0" r="0" b="0"/>
                <wp:wrapNone/>
                <wp:docPr id="12" name="直线 32"/>
                <wp:cNvGraphicFramePr/>
                <a:graphic xmlns:a="http://schemas.openxmlformats.org/drawingml/2006/main">
                  <a:graphicData uri="http://schemas.microsoft.com/office/word/2010/wordprocessingShape">
                    <wps:wsp>
                      <wps:cNvCnPr/>
                      <wps:spPr bwMode="auto">
                        <a:xfrm>
                          <a:off x="0" y="0"/>
                          <a:ext cx="6121400" cy="0"/>
                        </a:xfrm>
                        <a:prstGeom prst="line">
                          <a:avLst/>
                        </a:prstGeom>
                        <a:noFill/>
                        <a:ln w="12700" cmpd="sng">
                          <a:solidFill>
                            <a:srgbClr val="FFFFFF"/>
                          </a:solidFill>
                          <a:round/>
                        </a:ln>
                      </wps:spPr>
                      <wps:bodyPr/>
                    </wps:wsp>
                  </a:graphicData>
                </a:graphic>
              </wp:anchor>
            </w:drawing>
          </mc:Choice>
          <mc:Fallback>
            <w:pict>
              <v:line id="直线 32" o:spid="_x0000_s1026" o:spt="20" style="position:absolute;left:0pt;margin-left:0pt;margin-top:179pt;height:0pt;width:482pt;z-index:251666432;mso-width-relative:page;mso-height-relative:page;" filled="f" stroked="t" coordsize="21600,21600" o:allowincell="f" o:gfxdata="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7Iu0BdYAAAAIAQAADwAAAAAAAAABACAAAAAiAAAAZHJzL2Rvd25yZXYueG1s&#10;UEsBAhQAFAAAAAgAh07iQFF4XOvBAQAAfQMAAA4AAAAAAAAAAQAgAAAAJQEAAGRycy9lMm9Eb2Mu&#10;eG1sUEsFBgAAAAAGAAYAWQEAAFgFAAAAAA==&#10;">
                <v:fill on="f" focussize="0,0"/>
                <v:stroke weight="1pt" color="#FFFFFF" joinstyle="round"/>
                <v:imagedata o:title=""/>
                <o:lock v:ext="edit" aspectratio="f"/>
              </v:line>
            </w:pict>
          </mc:Fallback>
        </mc:AlternateContent>
      </w:r>
      <w:r>
        <w:rPr>
          <w:highlight w:val="none"/>
        </w:rPr>
        <mc:AlternateContent>
          <mc:Choice Requires="wps">
            <w:drawing>
              <wp:anchor distT="0" distB="0" distL="114300" distR="114300" simplePos="0" relativeHeight="251664384" behindDoc="0" locked="1" layoutInCell="1" allowOverlap="1">
                <wp:simplePos x="0" y="0"/>
                <wp:positionH relativeFrom="margin">
                  <wp:posOffset>318770</wp:posOffset>
                </wp:positionH>
                <wp:positionV relativeFrom="margin">
                  <wp:posOffset>8915400</wp:posOffset>
                </wp:positionV>
                <wp:extent cx="5148580" cy="837565"/>
                <wp:effectExtent l="0" t="0" r="0" b="0"/>
                <wp:wrapNone/>
                <wp:docPr id="11" name="fmFrame7"/>
                <wp:cNvGraphicFramePr/>
                <a:graphic xmlns:a="http://schemas.openxmlformats.org/drawingml/2006/main">
                  <a:graphicData uri="http://schemas.microsoft.com/office/word/2010/wordprocessingShape">
                    <wps:wsp>
                      <wps:cNvSpPr txBox="1"/>
                      <wps:spPr bwMode="auto">
                        <a:xfrm>
                          <a:off x="0" y="0"/>
                          <a:ext cx="5148580" cy="837565"/>
                        </a:xfrm>
                        <a:prstGeom prst="rect">
                          <a:avLst/>
                        </a:prstGeom>
                        <a:solidFill>
                          <a:srgbClr val="FFFFFF"/>
                        </a:solidFill>
                        <a:ln>
                          <a:noFill/>
                        </a:ln>
                      </wps:spPr>
                      <wps:txbx>
                        <w:txbxContent>
                          <w:p w14:paraId="43E2726A">
                            <w:pPr>
                              <w:rPr>
                                <w:rFonts w:hint="eastAsia"/>
                                <w:w w:val="135"/>
                              </w:rPr>
                            </w:pPr>
                          </w:p>
                          <w:p w14:paraId="50AFEB40">
                            <w:pPr>
                              <w:jc w:val="center"/>
                              <w:rPr>
                                <w:rFonts w:hint="eastAsia"/>
                                <w:szCs w:val="32"/>
                              </w:rPr>
                            </w:pPr>
                            <w:r>
                              <w:rPr>
                                <w:rFonts w:hint="eastAsia" w:ascii="黑体" w:hAnsi="黑体" w:eastAsia="黑体" w:cs="黑体"/>
                                <w:bCs/>
                                <w:w w:val="135"/>
                                <w:kern w:val="0"/>
                                <w:sz w:val="30"/>
                                <w:szCs w:val="30"/>
                              </w:rPr>
                              <w:t>中国香料香精化妆品工业协会</w:t>
                            </w:r>
                            <w:r>
                              <w:rPr>
                                <w:rFonts w:ascii="黑体" w:hAnsi="黑体" w:eastAsia="黑体" w:cs="黑体"/>
                                <w:bCs/>
                                <w:w w:val="135"/>
                                <w:kern w:val="0"/>
                                <w:sz w:val="30"/>
                                <w:szCs w:val="30"/>
                              </w:rPr>
                              <w:t> </w:t>
                            </w:r>
                            <w:r>
                              <w:rPr>
                                <w:rFonts w:ascii="Times New Roman" w:hAnsi="Times New Roman"/>
                              </w:rPr>
                              <w:t>  </w:t>
                            </w:r>
                            <w:r>
                              <w:rPr>
                                <w:rStyle w:val="63"/>
                                <w:rFonts w:ascii="Times New Roman" w:hAnsi="Times New Roman"/>
                              </w:rPr>
                              <w:t>发布</w:t>
                            </w:r>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25.1pt;margin-top:702pt;height:65.95pt;width:405.4pt;mso-position-horizontal-relative:margin;mso-position-vertical-relative:margin;z-index:251664384;mso-width-relative:page;mso-height-relative:page;" fillcolor="#FFFFFF" filled="t" stroked="f" coordsize="21600,21600" o:gfxdata="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dxcRg2gAAAAwBAAAPAAAAAAAAAAEAIAAAACIAAABkcnMvZG93bnJldi54bWxQ&#10;SwECFAAUAAAACACHTuJAY9Pqs/UBAAD8AwAADgAAAAAAAAABACAAAAApAQAAZHJzL2Uyb0RvYy54&#10;bWxQSwUGAAAAAAYABgBZAQAAkAUAAAAA&#10;">
                <v:fill on="t" focussize="0,0"/>
                <v:stroke on="f"/>
                <v:imagedata o:title=""/>
                <o:lock v:ext="edit" aspectratio="f"/>
                <v:textbox inset="0mm,0mm,0mm,0mm">
                  <w:txbxContent>
                    <w:p w14:paraId="43E2726A">
                      <w:pPr>
                        <w:rPr>
                          <w:rFonts w:hint="eastAsia"/>
                          <w:w w:val="135"/>
                        </w:rPr>
                      </w:pPr>
                    </w:p>
                    <w:p w14:paraId="50AFEB40">
                      <w:pPr>
                        <w:jc w:val="center"/>
                        <w:rPr>
                          <w:rFonts w:hint="eastAsia"/>
                          <w:szCs w:val="32"/>
                        </w:rPr>
                      </w:pPr>
                      <w:r>
                        <w:rPr>
                          <w:rFonts w:hint="eastAsia" w:ascii="黑体" w:hAnsi="黑体" w:eastAsia="黑体" w:cs="黑体"/>
                          <w:bCs/>
                          <w:w w:val="135"/>
                          <w:kern w:val="0"/>
                          <w:sz w:val="30"/>
                          <w:szCs w:val="30"/>
                        </w:rPr>
                        <w:t>中国香料香精化妆品工业协会</w:t>
                      </w:r>
                      <w:r>
                        <w:rPr>
                          <w:rFonts w:ascii="黑体" w:hAnsi="黑体" w:eastAsia="黑体" w:cs="黑体"/>
                          <w:bCs/>
                          <w:w w:val="135"/>
                          <w:kern w:val="0"/>
                          <w:sz w:val="30"/>
                          <w:szCs w:val="30"/>
                        </w:rPr>
                        <w:t> </w:t>
                      </w:r>
                      <w:r>
                        <w:rPr>
                          <w:rFonts w:ascii="Times New Roman" w:hAnsi="Times New Roman"/>
                        </w:rPr>
                        <w:t>  </w:t>
                      </w:r>
                      <w:r>
                        <w:rPr>
                          <w:rStyle w:val="63"/>
                          <w:rFonts w:ascii="Times New Roman" w:hAnsi="Times New Roman"/>
                        </w:rPr>
                        <w:t>发布</w:t>
                      </w:r>
                    </w:p>
                  </w:txbxContent>
                </v:textbox>
                <w10:anchorlock/>
              </v:shape>
            </w:pict>
          </mc:Fallback>
        </mc:AlternateContent>
      </w:r>
      <w:r>
        <w:rPr>
          <w:highlight w:val="none"/>
        </w:rPr>
        <mc:AlternateContent>
          <mc:Choice Requires="wps">
            <w:drawing>
              <wp:anchor distT="0" distB="0" distL="114300" distR="114300" simplePos="0" relativeHeight="251663360" behindDoc="0" locked="1" layoutInCell="0" allowOverlap="1">
                <wp:simplePos x="0" y="0"/>
                <wp:positionH relativeFrom="margin">
                  <wp:posOffset>4100830</wp:posOffset>
                </wp:positionH>
                <wp:positionV relativeFrom="margin">
                  <wp:posOffset>8542020</wp:posOffset>
                </wp:positionV>
                <wp:extent cx="2019300" cy="347980"/>
                <wp:effectExtent l="0" t="0" r="0" b="0"/>
                <wp:wrapNone/>
                <wp:docPr id="10" name="fmFrame6"/>
                <wp:cNvGraphicFramePr/>
                <a:graphic xmlns:a="http://schemas.openxmlformats.org/drawingml/2006/main">
                  <a:graphicData uri="http://schemas.microsoft.com/office/word/2010/wordprocessingShape">
                    <wps:wsp>
                      <wps:cNvSpPr txBox="1"/>
                      <wps:spPr bwMode="auto">
                        <a:xfrm>
                          <a:off x="0" y="0"/>
                          <a:ext cx="2019300" cy="347980"/>
                        </a:xfrm>
                        <a:prstGeom prst="rect">
                          <a:avLst/>
                        </a:prstGeom>
                        <a:solidFill>
                          <a:srgbClr val="FFFFFF"/>
                        </a:solidFill>
                        <a:ln>
                          <a:noFill/>
                        </a:ln>
                      </wps:spPr>
                      <wps:txbx>
                        <w:txbxContent>
                          <w:p w14:paraId="27C3244A">
                            <w:pPr>
                              <w:pStyle w:val="113"/>
                              <w:rPr>
                                <w:rFonts w:hint="eastAsia" w:ascii="黑体" w:hAnsi="黑体" w:cs="黑体"/>
                              </w:rPr>
                            </w:pPr>
                            <w:r>
                              <w:rPr>
                                <w:rFonts w:hint="eastAsia" w:ascii="黑体" w:hAnsi="黑体" w:cs="黑体"/>
                              </w:rPr>
                              <w:t>202</w:t>
                            </w:r>
                            <w:r>
                              <w:rPr>
                                <w:rFonts w:hint="eastAsia" w:ascii="黑体" w:hAnsi="黑体" w:cs="黑体"/>
                                <w:lang w:val="en-US" w:eastAsia="zh-CN"/>
                              </w:rPr>
                              <w:t>5</w:t>
                            </w:r>
                            <w:r>
                              <w:rPr>
                                <w:rFonts w:hint="eastAsia" w:ascii="黑体" w:hAnsi="黑体" w:cs="黑体"/>
                              </w:rPr>
                              <w:t>-X-XX实施</w:t>
                            </w:r>
                          </w:p>
                          <w:p w14:paraId="254F8826">
                            <w:pPr>
                              <w:rPr>
                                <w:rFonts w:hint="eastAsia"/>
                              </w:rPr>
                            </w:pPr>
                          </w:p>
                          <w:p w14:paraId="011DC48C">
                            <w:pPr>
                              <w:rPr>
                                <w:rFonts w:hint="eastAsia"/>
                              </w:rPr>
                            </w:pPr>
                          </w:p>
                        </w:txbxContent>
                      </wps:txbx>
                      <wps:bodyPr rot="0" vert="horz" wrap="square" lIns="0" tIns="0" rIns="0" bIns="0" anchor="t" anchorCtr="0" upright="1">
                        <a:noAutofit/>
                      </wps:bodyPr>
                    </wps:wsp>
                  </a:graphicData>
                </a:graphic>
              </wp:anchor>
            </w:drawing>
          </mc:Choice>
          <mc:Fallback>
            <w:pict>
              <v:shape id="fmFrame6" o:spid="_x0000_s1026" o:spt="202" type="#_x0000_t202" style="position:absolute;left:0pt;margin-left:322.9pt;margin-top:672.6pt;height:27.4pt;width:159pt;mso-position-horizontal-relative:margin;mso-position-vertical-relative:margin;z-index:251663360;mso-width-relative:page;mso-height-relative:page;" fillcolor="#FFFFFF" filled="t" stroked="f" coordsize="21600,21600" o:allowincell="f" o:gfxdata="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HsJDdoAAAANAQAADwAAAAAAAAABACAAAAAiAAAAZHJzL2Rvd25yZXYueG1s&#10;UEsBAhQAFAAAAAgAh07iQJLdUeL2AQAA/AMAAA4AAAAAAAAAAQAgAAAAKQEAAGRycy9lMm9Eb2Mu&#10;eG1sUEsFBgAAAAAGAAYAWQEAAJEFAAAAAA==&#10;">
                <v:fill on="t" focussize="0,0"/>
                <v:stroke on="f"/>
                <v:imagedata o:title=""/>
                <o:lock v:ext="edit" aspectratio="f"/>
                <v:textbox inset="0mm,0mm,0mm,0mm">
                  <w:txbxContent>
                    <w:p w14:paraId="27C3244A">
                      <w:pPr>
                        <w:pStyle w:val="113"/>
                        <w:rPr>
                          <w:rFonts w:hint="eastAsia" w:ascii="黑体" w:hAnsi="黑体" w:cs="黑体"/>
                        </w:rPr>
                      </w:pPr>
                      <w:r>
                        <w:rPr>
                          <w:rFonts w:hint="eastAsia" w:ascii="黑体" w:hAnsi="黑体" w:cs="黑体"/>
                        </w:rPr>
                        <w:t>202</w:t>
                      </w:r>
                      <w:r>
                        <w:rPr>
                          <w:rFonts w:hint="eastAsia" w:ascii="黑体" w:hAnsi="黑体" w:cs="黑体"/>
                          <w:lang w:val="en-US" w:eastAsia="zh-CN"/>
                        </w:rPr>
                        <w:t>5</w:t>
                      </w:r>
                      <w:r>
                        <w:rPr>
                          <w:rFonts w:hint="eastAsia" w:ascii="黑体" w:hAnsi="黑体" w:cs="黑体"/>
                        </w:rPr>
                        <w:t>-X-XX实施</w:t>
                      </w:r>
                    </w:p>
                    <w:p w14:paraId="254F8826">
                      <w:pPr>
                        <w:rPr>
                          <w:rFonts w:hint="eastAsia"/>
                        </w:rPr>
                      </w:pPr>
                    </w:p>
                    <w:p w14:paraId="011DC48C">
                      <w:pPr>
                        <w:rPr>
                          <w:rFonts w:hint="eastAsia"/>
                        </w:rPr>
                      </w:pPr>
                    </w:p>
                  </w:txbxContent>
                </v:textbox>
                <w10:anchorlock/>
              </v:shape>
            </w:pict>
          </mc:Fallback>
        </mc:AlternateContent>
      </w:r>
      <w:r>
        <w:rPr>
          <w:highlight w:val="none"/>
        </w:rPr>
        <mc:AlternateContent>
          <mc:Choice Requires="wps">
            <w:drawing>
              <wp:anchor distT="0" distB="0" distL="114300" distR="114300" simplePos="0" relativeHeight="251662336" behindDoc="0" locked="1" layoutInCell="0" allowOverlap="1">
                <wp:simplePos x="0" y="0"/>
                <wp:positionH relativeFrom="margin">
                  <wp:posOffset>0</wp:posOffset>
                </wp:positionH>
                <wp:positionV relativeFrom="margin">
                  <wp:posOffset>8563610</wp:posOffset>
                </wp:positionV>
                <wp:extent cx="2019300" cy="312420"/>
                <wp:effectExtent l="0" t="0" r="0" b="0"/>
                <wp:wrapNone/>
                <wp:docPr id="9" name="fmFrame5"/>
                <wp:cNvGraphicFramePr/>
                <a:graphic xmlns:a="http://schemas.openxmlformats.org/drawingml/2006/main">
                  <a:graphicData uri="http://schemas.microsoft.com/office/word/2010/wordprocessingShape">
                    <wps:wsp>
                      <wps:cNvSpPr txBox="1"/>
                      <wps:spPr bwMode="auto">
                        <a:xfrm>
                          <a:off x="0" y="0"/>
                          <a:ext cx="2019300" cy="312420"/>
                        </a:xfrm>
                        <a:prstGeom prst="rect">
                          <a:avLst/>
                        </a:prstGeom>
                        <a:solidFill>
                          <a:srgbClr val="FFFFFF"/>
                        </a:solidFill>
                        <a:ln>
                          <a:noFill/>
                        </a:ln>
                      </wps:spPr>
                      <wps:txbx>
                        <w:txbxContent>
                          <w:p w14:paraId="6FC41227">
                            <w:pPr>
                              <w:pStyle w:val="113"/>
                              <w:jc w:val="left"/>
                              <w:rPr>
                                <w:rFonts w:hint="eastAsia" w:ascii="黑体" w:hAnsi="黑体" w:cs="黑体"/>
                              </w:rPr>
                            </w:pPr>
                            <w:r>
                              <w:rPr>
                                <w:rFonts w:ascii="黑体" w:hAnsi="黑体" w:cs="黑体"/>
                              </w:rPr>
                              <w:t>202</w:t>
                            </w:r>
                            <w:r>
                              <w:rPr>
                                <w:rFonts w:hint="eastAsia" w:ascii="黑体" w:hAnsi="黑体" w:cs="黑体"/>
                                <w:lang w:val="en-US" w:eastAsia="zh-CN"/>
                              </w:rPr>
                              <w:t>5</w:t>
                            </w:r>
                            <w:r>
                              <w:rPr>
                                <w:rFonts w:ascii="黑体" w:hAnsi="黑体" w:cs="黑体"/>
                              </w:rPr>
                              <w:t>-</w:t>
                            </w:r>
                            <w:r>
                              <w:rPr>
                                <w:rFonts w:hint="eastAsia" w:ascii="黑体" w:hAnsi="黑体" w:cs="黑体"/>
                              </w:rPr>
                              <w:t>X</w:t>
                            </w:r>
                            <w:r>
                              <w:rPr>
                                <w:rFonts w:ascii="黑体" w:hAnsi="黑体" w:cs="黑体"/>
                              </w:rPr>
                              <w:t>-</w:t>
                            </w:r>
                            <w:r>
                              <w:rPr>
                                <w:rFonts w:hint="eastAsia" w:ascii="黑体" w:hAnsi="黑体" w:cs="黑体"/>
                              </w:rPr>
                              <w:t>XX</w:t>
                            </w:r>
                            <w:r>
                              <w:rPr>
                                <w:rFonts w:ascii="黑体" w:hAnsi="黑体" w:cs="黑体"/>
                              </w:rPr>
                              <w:t>发布</w:t>
                            </w:r>
                          </w:p>
                          <w:p w14:paraId="00F6CF28">
                            <w:pPr>
                              <w:rPr>
                                <w:rFonts w:hint="eastAsia"/>
                              </w:rPr>
                            </w:pPr>
                          </w:p>
                          <w:p w14:paraId="23A9B575">
                            <w:pPr>
                              <w:rPr>
                                <w:rFonts w:hint="eastAsia"/>
                              </w:rPr>
                            </w:pPr>
                          </w:p>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0pt;margin-top:674.3pt;height:24.6pt;width:159pt;mso-position-horizontal-relative:margin;mso-position-vertical-relative:margin;z-index:251662336;mso-width-relative:page;mso-height-relative:page;" fillcolor="#FFFFFF" filled="t" stroked="f" coordsize="21600,21600" o:allowincell="f"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XzbKiNgAAAAKAQAADwAAAAAAAAABACAAAAAiAAAAZHJzL2Rvd25yZXYueG1sUEsB&#10;AhQAFAAAAAgAh07iQCnuyaf1AQAA+wMAAA4AAAAAAAAAAQAgAAAAJwEAAGRycy9lMm9Eb2MueG1s&#10;UEsFBgAAAAAGAAYAWQEAAI4FAAAAAA==&#10;">
                <v:fill on="t" focussize="0,0"/>
                <v:stroke on="f"/>
                <v:imagedata o:title=""/>
                <o:lock v:ext="edit" aspectratio="f"/>
                <v:textbox inset="0mm,0mm,0mm,0mm">
                  <w:txbxContent>
                    <w:p w14:paraId="6FC41227">
                      <w:pPr>
                        <w:pStyle w:val="113"/>
                        <w:jc w:val="left"/>
                        <w:rPr>
                          <w:rFonts w:hint="eastAsia" w:ascii="黑体" w:hAnsi="黑体" w:cs="黑体"/>
                        </w:rPr>
                      </w:pPr>
                      <w:r>
                        <w:rPr>
                          <w:rFonts w:ascii="黑体" w:hAnsi="黑体" w:cs="黑体"/>
                        </w:rPr>
                        <w:t>202</w:t>
                      </w:r>
                      <w:r>
                        <w:rPr>
                          <w:rFonts w:hint="eastAsia" w:ascii="黑体" w:hAnsi="黑体" w:cs="黑体"/>
                          <w:lang w:val="en-US" w:eastAsia="zh-CN"/>
                        </w:rPr>
                        <w:t>5</w:t>
                      </w:r>
                      <w:r>
                        <w:rPr>
                          <w:rFonts w:ascii="黑体" w:hAnsi="黑体" w:cs="黑体"/>
                        </w:rPr>
                        <w:t>-</w:t>
                      </w:r>
                      <w:r>
                        <w:rPr>
                          <w:rFonts w:hint="eastAsia" w:ascii="黑体" w:hAnsi="黑体" w:cs="黑体"/>
                        </w:rPr>
                        <w:t>X</w:t>
                      </w:r>
                      <w:r>
                        <w:rPr>
                          <w:rFonts w:ascii="黑体" w:hAnsi="黑体" w:cs="黑体"/>
                        </w:rPr>
                        <w:t>-</w:t>
                      </w:r>
                      <w:r>
                        <w:rPr>
                          <w:rFonts w:hint="eastAsia" w:ascii="黑体" w:hAnsi="黑体" w:cs="黑体"/>
                        </w:rPr>
                        <w:t>XX</w:t>
                      </w:r>
                      <w:r>
                        <w:rPr>
                          <w:rFonts w:ascii="黑体" w:hAnsi="黑体" w:cs="黑体"/>
                        </w:rPr>
                        <w:t>发布</w:t>
                      </w:r>
                    </w:p>
                    <w:p w14:paraId="00F6CF28">
                      <w:pPr>
                        <w:rPr>
                          <w:rFonts w:hint="eastAsia"/>
                        </w:rPr>
                      </w:pPr>
                    </w:p>
                    <w:p w14:paraId="23A9B575">
                      <w:pPr>
                        <w:rPr>
                          <w:rFonts w:hint="eastAsia"/>
                        </w:rPr>
                      </w:pPr>
                    </w:p>
                  </w:txbxContent>
                </v:textbox>
                <w10:anchorlock/>
              </v:shape>
            </w:pict>
          </mc:Fallback>
        </mc:AlternateContent>
      </w:r>
      <w:r>
        <w:rPr>
          <w:highlight w:val="none"/>
        </w:rPr>
        <mc:AlternateContent>
          <mc:Choice Requires="wps">
            <w:drawing>
              <wp:anchor distT="0" distB="0" distL="114300" distR="114300" simplePos="0" relativeHeight="251661312" behindDoc="0" locked="1" layoutInCell="0" allowOverlap="1">
                <wp:simplePos x="0" y="0"/>
                <wp:positionH relativeFrom="margin">
                  <wp:posOffset>0</wp:posOffset>
                </wp:positionH>
                <wp:positionV relativeFrom="margin">
                  <wp:posOffset>3635375</wp:posOffset>
                </wp:positionV>
                <wp:extent cx="5969000" cy="4681220"/>
                <wp:effectExtent l="0" t="0" r="0" b="5080"/>
                <wp:wrapNone/>
                <wp:docPr id="8" name="fmFrame4"/>
                <wp:cNvGraphicFramePr/>
                <a:graphic xmlns:a="http://schemas.openxmlformats.org/drawingml/2006/main">
                  <a:graphicData uri="http://schemas.microsoft.com/office/word/2010/wordprocessingShape">
                    <wps:wsp>
                      <wps:cNvSpPr txBox="1"/>
                      <wps:spPr bwMode="auto">
                        <a:xfrm>
                          <a:off x="0" y="0"/>
                          <a:ext cx="5969000" cy="4681220"/>
                        </a:xfrm>
                        <a:prstGeom prst="rect">
                          <a:avLst/>
                        </a:prstGeom>
                        <a:solidFill>
                          <a:srgbClr val="FFFFFF"/>
                        </a:solidFill>
                        <a:ln>
                          <a:noFill/>
                        </a:ln>
                      </wps:spPr>
                      <wps:txbx>
                        <w:txbxContent>
                          <w:p w14:paraId="0000CEAF">
                            <w:pPr>
                              <w:jc w:val="center"/>
                              <w:rPr>
                                <w:rFonts w:ascii="黑体" w:hAnsi="Times New Roman" w:eastAsia="黑体" w:cs="Times New Roman"/>
                                <w:bCs/>
                                <w:sz w:val="52"/>
                                <w:szCs w:val="28"/>
                              </w:rPr>
                            </w:pPr>
                            <w:r>
                              <w:rPr>
                                <w:rFonts w:hint="eastAsia" w:ascii="黑体" w:hAnsi="Times New Roman" w:eastAsia="黑体" w:cs="Times New Roman"/>
                                <w:bCs/>
                                <w:sz w:val="52"/>
                                <w:szCs w:val="28"/>
                              </w:rPr>
                              <w:t>化妆品经皮吸收 Franz扩散池法</w:t>
                            </w:r>
                          </w:p>
                          <w:p w14:paraId="0E713E66">
                            <w:pPr>
                              <w:jc w:val="center"/>
                              <w:rPr>
                                <w:rFonts w:ascii="黑体" w:hAnsi="Times New Roman" w:eastAsia="黑体" w:cs="Times New Roman"/>
                                <w:bCs/>
                                <w:sz w:val="52"/>
                                <w:szCs w:val="28"/>
                              </w:rPr>
                            </w:pPr>
                            <w:r>
                              <w:rPr>
                                <w:rFonts w:hint="eastAsia" w:ascii="黑体" w:hAnsi="Times New Roman" w:eastAsia="黑体" w:cs="Times New Roman"/>
                                <w:bCs/>
                                <w:sz w:val="52"/>
                                <w:szCs w:val="28"/>
                              </w:rPr>
                              <w:t>技术指南</w:t>
                            </w:r>
                          </w:p>
                          <w:p w14:paraId="21FE3BC7">
                            <w:pPr>
                              <w:pStyle w:val="19"/>
                              <w:jc w:val="center"/>
                              <w:rPr>
                                <w:rFonts w:hint="eastAsia" w:ascii="黑体" w:hAnsi="黑体" w:eastAsia="黑体" w:cs="黑体"/>
                                <w:sz w:val="28"/>
                                <w:szCs w:val="24"/>
                              </w:rPr>
                            </w:pPr>
                            <w:r>
                              <w:rPr>
                                <w:rFonts w:hint="eastAsia" w:ascii="黑体" w:hAnsi="黑体" w:eastAsia="黑体" w:cs="黑体"/>
                                <w:sz w:val="28"/>
                                <w:szCs w:val="24"/>
                              </w:rPr>
                              <w:t>Guidelines</w:t>
                            </w:r>
                            <w:r>
                              <w:rPr>
                                <w:rFonts w:ascii="黑体" w:hAnsi="黑体" w:eastAsia="黑体" w:cs="黑体"/>
                                <w:sz w:val="28"/>
                                <w:szCs w:val="24"/>
                              </w:rPr>
                              <w:t xml:space="preserve"> for </w:t>
                            </w:r>
                            <w:r>
                              <w:rPr>
                                <w:rFonts w:hint="eastAsia" w:ascii="黑体" w:hAnsi="黑体" w:eastAsia="黑体" w:cs="黑体"/>
                                <w:sz w:val="28"/>
                                <w:szCs w:val="24"/>
                              </w:rPr>
                              <w:t xml:space="preserve">Franz </w:t>
                            </w:r>
                            <w:r>
                              <w:rPr>
                                <w:rFonts w:ascii="黑体" w:hAnsi="黑体" w:eastAsia="黑体" w:cs="黑体"/>
                                <w:sz w:val="28"/>
                                <w:szCs w:val="24"/>
                              </w:rPr>
                              <w:t xml:space="preserve">diffusion cell </w:t>
                            </w:r>
                            <w:r>
                              <w:rPr>
                                <w:rFonts w:hint="eastAsia" w:ascii="黑体" w:hAnsi="黑体" w:eastAsia="黑体" w:cs="黑体"/>
                                <w:sz w:val="28"/>
                                <w:szCs w:val="24"/>
                              </w:rPr>
                              <w:t>method for</w:t>
                            </w:r>
                            <w:r>
                              <w:rPr>
                                <w:rFonts w:ascii="黑体" w:hAnsi="黑体" w:eastAsia="黑体" w:cs="黑体"/>
                                <w:sz w:val="28"/>
                                <w:szCs w:val="24"/>
                              </w:rPr>
                              <w:t xml:space="preserve"> </w:t>
                            </w:r>
                            <w:r>
                              <w:rPr>
                                <w:rFonts w:hint="eastAsia" w:ascii="黑体" w:hAnsi="黑体" w:eastAsia="黑体" w:cs="黑体"/>
                                <w:sz w:val="28"/>
                                <w:szCs w:val="24"/>
                              </w:rPr>
                              <w:t>transdermal absorption of cosmetics</w:t>
                            </w:r>
                          </w:p>
                          <w:p w14:paraId="0B25DE7E">
                            <w:pPr>
                              <w:pStyle w:val="19"/>
                              <w:jc w:val="center"/>
                              <w:rPr>
                                <w:rFonts w:hint="eastAsia"/>
                                <w:szCs w:val="24"/>
                              </w:rPr>
                            </w:pPr>
                            <w:r>
                              <w:rPr>
                                <w:rFonts w:hint="eastAsia"/>
                                <w:szCs w:val="24"/>
                              </w:rPr>
                              <w:t>（征求意见稿）</w:t>
                            </w:r>
                          </w:p>
                          <w:p w14:paraId="41B201A3">
                            <w:pPr>
                              <w:pStyle w:val="109"/>
                              <w:rPr>
                                <w:sz w:val="24"/>
                                <w:szCs w:val="24"/>
                              </w:rPr>
                            </w:pPr>
                            <w:r>
                              <w:rPr>
                                <w:rFonts w:hint="eastAsia"/>
                                <w:sz w:val="24"/>
                                <w:szCs w:val="24"/>
                              </w:rPr>
                              <w:t>在提交反馈意见时，请将您知道的相关专利连同支持性文件一并附上。</w:t>
                            </w:r>
                          </w:p>
                          <w:p w14:paraId="12D1AEC1">
                            <w:pPr>
                              <w:pStyle w:val="109"/>
                              <w:rPr>
                                <w:sz w:val="24"/>
                                <w:szCs w:val="24"/>
                              </w:rPr>
                            </w:pPr>
                          </w:p>
                        </w:txbxContent>
                      </wps:txbx>
                      <wps:bodyPr rot="0" vert="horz" wrap="square" lIns="0" tIns="0" rIns="0" bIns="0" anchor="t" anchorCtr="0" upright="1">
                        <a:noAutofit/>
                      </wps:bodyPr>
                    </wps:wsp>
                  </a:graphicData>
                </a:graphic>
              </wp:anchor>
            </w:drawing>
          </mc:Choice>
          <mc:Fallback>
            <w:pict>
              <v:shape id="fmFrame4" o:spid="_x0000_s1026" o:spt="202" type="#_x0000_t202" style="position:absolute;left:0pt;margin-left:0pt;margin-top:286.25pt;height:368.6pt;width:470pt;mso-position-horizontal-relative:margin;mso-position-vertical-relative:margin;z-index:251661312;mso-width-relative:page;mso-height-relative:page;" fillcolor="#FFFFFF" filled="t" stroked="f" coordsize="21600,21600" o:allowincell="f"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FefcdgAAAAJAQAADwAAAAAAAAABACAAAAAiAAAAZHJzL2Rvd25yZXYueG1s&#10;UEsBAhQAFAAAAAgAh07iQD+JMKX4AQAA/AMAAA4AAAAAAAAAAQAgAAAAJwEAAGRycy9lMm9Eb2Mu&#10;eG1sUEsFBgAAAAAGAAYAWQEAAJEFAAAAAA==&#10;">
                <v:fill on="t" focussize="0,0"/>
                <v:stroke on="f"/>
                <v:imagedata o:title=""/>
                <o:lock v:ext="edit" aspectratio="f"/>
                <v:textbox inset="0mm,0mm,0mm,0mm">
                  <w:txbxContent>
                    <w:p w14:paraId="0000CEAF">
                      <w:pPr>
                        <w:jc w:val="center"/>
                        <w:rPr>
                          <w:rFonts w:ascii="黑体" w:hAnsi="Times New Roman" w:eastAsia="黑体" w:cs="Times New Roman"/>
                          <w:bCs/>
                          <w:sz w:val="52"/>
                          <w:szCs w:val="28"/>
                        </w:rPr>
                      </w:pPr>
                      <w:r>
                        <w:rPr>
                          <w:rFonts w:hint="eastAsia" w:ascii="黑体" w:hAnsi="Times New Roman" w:eastAsia="黑体" w:cs="Times New Roman"/>
                          <w:bCs/>
                          <w:sz w:val="52"/>
                          <w:szCs w:val="28"/>
                        </w:rPr>
                        <w:t>化妆品经皮吸收 Franz扩散池法</w:t>
                      </w:r>
                    </w:p>
                    <w:p w14:paraId="0E713E66">
                      <w:pPr>
                        <w:jc w:val="center"/>
                        <w:rPr>
                          <w:rFonts w:ascii="黑体" w:hAnsi="Times New Roman" w:eastAsia="黑体" w:cs="Times New Roman"/>
                          <w:bCs/>
                          <w:sz w:val="52"/>
                          <w:szCs w:val="28"/>
                        </w:rPr>
                      </w:pPr>
                      <w:r>
                        <w:rPr>
                          <w:rFonts w:hint="eastAsia" w:ascii="黑体" w:hAnsi="Times New Roman" w:eastAsia="黑体" w:cs="Times New Roman"/>
                          <w:bCs/>
                          <w:sz w:val="52"/>
                          <w:szCs w:val="28"/>
                        </w:rPr>
                        <w:t>技术指南</w:t>
                      </w:r>
                    </w:p>
                    <w:p w14:paraId="21FE3BC7">
                      <w:pPr>
                        <w:pStyle w:val="19"/>
                        <w:jc w:val="center"/>
                        <w:rPr>
                          <w:rFonts w:hint="eastAsia" w:ascii="黑体" w:hAnsi="黑体" w:eastAsia="黑体" w:cs="黑体"/>
                          <w:sz w:val="28"/>
                          <w:szCs w:val="24"/>
                        </w:rPr>
                      </w:pPr>
                      <w:r>
                        <w:rPr>
                          <w:rFonts w:hint="eastAsia" w:ascii="黑体" w:hAnsi="黑体" w:eastAsia="黑体" w:cs="黑体"/>
                          <w:sz w:val="28"/>
                          <w:szCs w:val="24"/>
                        </w:rPr>
                        <w:t>Guidelines</w:t>
                      </w:r>
                      <w:r>
                        <w:rPr>
                          <w:rFonts w:ascii="黑体" w:hAnsi="黑体" w:eastAsia="黑体" w:cs="黑体"/>
                          <w:sz w:val="28"/>
                          <w:szCs w:val="24"/>
                        </w:rPr>
                        <w:t xml:space="preserve"> for </w:t>
                      </w:r>
                      <w:r>
                        <w:rPr>
                          <w:rFonts w:hint="eastAsia" w:ascii="黑体" w:hAnsi="黑体" w:eastAsia="黑体" w:cs="黑体"/>
                          <w:sz w:val="28"/>
                          <w:szCs w:val="24"/>
                        </w:rPr>
                        <w:t xml:space="preserve">Franz </w:t>
                      </w:r>
                      <w:r>
                        <w:rPr>
                          <w:rFonts w:ascii="黑体" w:hAnsi="黑体" w:eastAsia="黑体" w:cs="黑体"/>
                          <w:sz w:val="28"/>
                          <w:szCs w:val="24"/>
                        </w:rPr>
                        <w:t xml:space="preserve">diffusion cell </w:t>
                      </w:r>
                      <w:r>
                        <w:rPr>
                          <w:rFonts w:hint="eastAsia" w:ascii="黑体" w:hAnsi="黑体" w:eastAsia="黑体" w:cs="黑体"/>
                          <w:sz w:val="28"/>
                          <w:szCs w:val="24"/>
                        </w:rPr>
                        <w:t>method for</w:t>
                      </w:r>
                      <w:r>
                        <w:rPr>
                          <w:rFonts w:ascii="黑体" w:hAnsi="黑体" w:eastAsia="黑体" w:cs="黑体"/>
                          <w:sz w:val="28"/>
                          <w:szCs w:val="24"/>
                        </w:rPr>
                        <w:t xml:space="preserve"> </w:t>
                      </w:r>
                      <w:r>
                        <w:rPr>
                          <w:rFonts w:hint="eastAsia" w:ascii="黑体" w:hAnsi="黑体" w:eastAsia="黑体" w:cs="黑体"/>
                          <w:sz w:val="28"/>
                          <w:szCs w:val="24"/>
                        </w:rPr>
                        <w:t>transdermal absorption of cosmetics</w:t>
                      </w:r>
                    </w:p>
                    <w:p w14:paraId="0B25DE7E">
                      <w:pPr>
                        <w:pStyle w:val="19"/>
                        <w:jc w:val="center"/>
                        <w:rPr>
                          <w:rFonts w:hint="eastAsia"/>
                          <w:szCs w:val="24"/>
                        </w:rPr>
                      </w:pPr>
                      <w:r>
                        <w:rPr>
                          <w:rFonts w:hint="eastAsia"/>
                          <w:szCs w:val="24"/>
                        </w:rPr>
                        <w:t>（征求意见稿）</w:t>
                      </w:r>
                    </w:p>
                    <w:p w14:paraId="41B201A3">
                      <w:pPr>
                        <w:pStyle w:val="109"/>
                        <w:rPr>
                          <w:sz w:val="24"/>
                          <w:szCs w:val="24"/>
                        </w:rPr>
                      </w:pPr>
                      <w:r>
                        <w:rPr>
                          <w:rFonts w:hint="eastAsia"/>
                          <w:sz w:val="24"/>
                          <w:szCs w:val="24"/>
                        </w:rPr>
                        <w:t>在提交反馈意见时，请将您知道的相关专利连同支持性文件一并附上。</w:t>
                      </w:r>
                    </w:p>
                    <w:p w14:paraId="12D1AEC1">
                      <w:pPr>
                        <w:pStyle w:val="109"/>
                        <w:rPr>
                          <w:sz w:val="24"/>
                          <w:szCs w:val="24"/>
                        </w:rPr>
                      </w:pPr>
                    </w:p>
                  </w:txbxContent>
                </v:textbox>
                <w10:anchorlock/>
              </v:shape>
            </w:pict>
          </mc:Fallback>
        </mc:AlternateContent>
      </w:r>
      <w:r>
        <w:rPr>
          <w:highlight w:val="none"/>
        </w:rPr>
        <mc:AlternateContent>
          <mc:Choice Requires="wps">
            <w:drawing>
              <wp:anchor distT="0" distB="0" distL="114300" distR="114300" simplePos="0" relativeHeight="251660288" behindDoc="0" locked="1" layoutInCell="0" allowOverlap="1">
                <wp:simplePos x="0" y="0"/>
                <wp:positionH relativeFrom="margin">
                  <wp:posOffset>0</wp:posOffset>
                </wp:positionH>
                <wp:positionV relativeFrom="margin">
                  <wp:posOffset>1684020</wp:posOffset>
                </wp:positionV>
                <wp:extent cx="5802630" cy="577850"/>
                <wp:effectExtent l="0" t="0" r="0" b="0"/>
                <wp:wrapNone/>
                <wp:docPr id="7" name="fmFrame3"/>
                <wp:cNvGraphicFramePr/>
                <a:graphic xmlns:a="http://schemas.openxmlformats.org/drawingml/2006/main">
                  <a:graphicData uri="http://schemas.microsoft.com/office/word/2010/wordprocessingShape">
                    <wps:wsp>
                      <wps:cNvSpPr txBox="1"/>
                      <wps:spPr bwMode="auto">
                        <a:xfrm>
                          <a:off x="0" y="0"/>
                          <a:ext cx="5802630" cy="577850"/>
                        </a:xfrm>
                        <a:prstGeom prst="rect">
                          <a:avLst/>
                        </a:prstGeom>
                        <a:solidFill>
                          <a:srgbClr val="FFFFFF"/>
                        </a:solidFill>
                        <a:ln>
                          <a:noFill/>
                        </a:ln>
                      </wps:spPr>
                      <wps:txbx>
                        <w:txbxContent>
                          <w:p w14:paraId="68F73B25">
                            <w:pPr>
                              <w:pStyle w:val="94"/>
                              <w:rPr>
                                <w:rFonts w:hint="eastAsia" w:ascii="黑体" w:hAnsi="黑体" w:eastAsia="黑体" w:cs="黑体"/>
                              </w:rPr>
                            </w:pPr>
                            <w:r>
                              <w:rPr>
                                <w:rFonts w:hint="eastAsia" w:ascii="黑体" w:hAnsi="黑体" w:eastAsia="黑体" w:cs="黑体"/>
                              </w:rPr>
                              <w:t>T/CAFFCI  XX—202</w:t>
                            </w:r>
                            <w:r>
                              <w:rPr>
                                <w:rFonts w:hint="eastAsia" w:ascii="黑体" w:hAnsi="黑体" w:eastAsia="黑体" w:cs="黑体"/>
                                <w:lang w:val="en-US" w:eastAsia="zh-CN"/>
                              </w:rPr>
                              <w:t>5</w:t>
                            </w:r>
                          </w:p>
                          <w:p w14:paraId="5540B382">
                            <w:pPr>
                              <w:pStyle w:val="94"/>
                              <w:rPr>
                                <w:rFonts w:ascii="黑体" w:eastAsia="黑体"/>
                                <w:b/>
                              </w:rPr>
                            </w:pPr>
                          </w:p>
                        </w:txbxContent>
                      </wps:txbx>
                      <wps:bodyPr rot="0" vert="horz" wrap="square" lIns="0" tIns="0" rIns="0" bIns="0" anchor="t" anchorCtr="0" upright="1">
                        <a:noAutofit/>
                      </wps:bodyPr>
                    </wps:wsp>
                  </a:graphicData>
                </a:graphic>
              </wp:anchor>
            </w:drawing>
          </mc:Choice>
          <mc:Fallback>
            <w:pict>
              <v:shape id="fmFrame3" o:spid="_x0000_s1026" o:spt="202" type="#_x0000_t202" style="position:absolute;left:0pt;margin-left:0pt;margin-top:132.6pt;height:45.5pt;width:456.9pt;mso-position-horizontal-relative:margin;mso-position-vertical-relative:margin;z-index:251660288;mso-width-relative:page;mso-height-relative:page;" fillcolor="#FFFFFF" filled="t" stroked="f" coordsize="21600,21600" o:allowincell="f" o:gfxdata="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paGoi2AAAAAgBAAAPAAAAAAAAAAEAIAAAACIAAABkcnMvZG93bnJldi54bWxQ&#10;SwECFAAUAAAACACHTuJAY9CS5PcBAAD7AwAADgAAAAAAAAABACAAAAAnAQAAZHJzL2Uyb0RvYy54&#10;bWxQSwUGAAAAAAYABgBZAQAAkAUAAAAA&#10;">
                <v:fill on="t" focussize="0,0"/>
                <v:stroke on="f"/>
                <v:imagedata o:title=""/>
                <o:lock v:ext="edit" aspectratio="f"/>
                <v:textbox inset="0mm,0mm,0mm,0mm">
                  <w:txbxContent>
                    <w:p w14:paraId="68F73B25">
                      <w:pPr>
                        <w:pStyle w:val="94"/>
                        <w:rPr>
                          <w:rFonts w:hint="eastAsia" w:ascii="黑体" w:hAnsi="黑体" w:eastAsia="黑体" w:cs="黑体"/>
                        </w:rPr>
                      </w:pPr>
                      <w:r>
                        <w:rPr>
                          <w:rFonts w:hint="eastAsia" w:ascii="黑体" w:hAnsi="黑体" w:eastAsia="黑体" w:cs="黑体"/>
                        </w:rPr>
                        <w:t>T/CAFFCI  XX—202</w:t>
                      </w:r>
                      <w:r>
                        <w:rPr>
                          <w:rFonts w:hint="eastAsia" w:ascii="黑体" w:hAnsi="黑体" w:eastAsia="黑体" w:cs="黑体"/>
                          <w:lang w:val="en-US" w:eastAsia="zh-CN"/>
                        </w:rPr>
                        <w:t>5</w:t>
                      </w:r>
                    </w:p>
                    <w:p w14:paraId="5540B382">
                      <w:pPr>
                        <w:pStyle w:val="94"/>
                        <w:rPr>
                          <w:rFonts w:ascii="黑体" w:eastAsia="黑体"/>
                          <w:b/>
                        </w:rPr>
                      </w:pPr>
                    </w:p>
                  </w:txbxContent>
                </v:textbox>
                <w10:anchorlock/>
              </v:shape>
            </w:pict>
          </mc:Fallback>
        </mc:AlternateContent>
      </w:r>
      <w:r>
        <w:rPr>
          <w:highlight w:val="none"/>
        </w:rPr>
        <mc:AlternateContent>
          <mc:Choice Requires="wps">
            <w:drawing>
              <wp:anchor distT="0" distB="0" distL="114300" distR="114300" simplePos="0" relativeHeight="251659264" behindDoc="0" locked="1" layoutInCell="1" allowOverlap="1">
                <wp:simplePos x="0" y="0"/>
                <wp:positionH relativeFrom="margin">
                  <wp:posOffset>-66675</wp:posOffset>
                </wp:positionH>
                <wp:positionV relativeFrom="margin">
                  <wp:posOffset>1010920</wp:posOffset>
                </wp:positionV>
                <wp:extent cx="6120130" cy="772160"/>
                <wp:effectExtent l="0" t="0" r="0" b="0"/>
                <wp:wrapNone/>
                <wp:docPr id="6" name="fmFrame2"/>
                <wp:cNvGraphicFramePr/>
                <a:graphic xmlns:a="http://schemas.openxmlformats.org/drawingml/2006/main">
                  <a:graphicData uri="http://schemas.microsoft.com/office/word/2010/wordprocessingShape">
                    <wps:wsp>
                      <wps:cNvSpPr txBox="1"/>
                      <wps:spPr bwMode="auto">
                        <a:xfrm>
                          <a:off x="0" y="0"/>
                          <a:ext cx="6120130" cy="772160"/>
                        </a:xfrm>
                        <a:prstGeom prst="rect">
                          <a:avLst/>
                        </a:prstGeom>
                        <a:solidFill>
                          <a:srgbClr val="FFFFFF"/>
                        </a:solidFill>
                        <a:ln>
                          <a:noFill/>
                        </a:ln>
                      </wps:spPr>
                      <wps:txbx>
                        <w:txbxContent>
                          <w:p w14:paraId="68338B85">
                            <w:pPr>
                              <w:pStyle w:val="89"/>
                              <w:rPr>
                                <w:rFonts w:hint="eastAsia"/>
                                <w:bCs/>
                                <w:sz w:val="56"/>
                                <w:szCs w:val="72"/>
                              </w:rPr>
                            </w:pPr>
                            <w:r>
                              <w:rPr>
                                <w:rFonts w:hint="eastAsia"/>
                                <w:bCs/>
                                <w:sz w:val="56"/>
                                <w:szCs w:val="72"/>
                              </w:rPr>
                              <w:t>团体标准</w:t>
                            </w: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5.25pt;margin-top:79.6pt;height:60.8pt;width:481.9pt;mso-position-horizontal-relative:margin;mso-position-vertical-relative:margin;z-index:251659264;mso-width-relative:page;mso-height-relative:page;" fillcolor="#FFFFFF" filled="t" stroked="f" coordsize="21600,21600" o:gfxdata="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RBJL/aAAAACwEAAA8AAAAAAAAAAQAgAAAAIgAAAGRycy9kb3ducmV2LnhtbFBL&#10;AQIUABQAAAAIAIdO4kDct2Mm9AEAAPsDAAAOAAAAAAAAAAEAIAAAACkBAABkcnMvZTJvRG9jLnht&#10;bFBLBQYAAAAABgAGAFkBAACPBQAAAAA=&#10;">
                <v:fill on="t" focussize="0,0"/>
                <v:stroke on="f"/>
                <v:imagedata o:title=""/>
                <o:lock v:ext="edit" aspectratio="f"/>
                <v:textbox inset="0mm,0mm,0mm,0mm">
                  <w:txbxContent>
                    <w:p w14:paraId="68338B85">
                      <w:pPr>
                        <w:pStyle w:val="89"/>
                        <w:rPr>
                          <w:rFonts w:hint="eastAsia"/>
                          <w:bCs/>
                          <w:sz w:val="56"/>
                          <w:szCs w:val="72"/>
                        </w:rPr>
                      </w:pPr>
                      <w:r>
                        <w:rPr>
                          <w:rFonts w:hint="eastAsia"/>
                          <w:bCs/>
                          <w:sz w:val="56"/>
                          <w:szCs w:val="72"/>
                        </w:rPr>
                        <w:t>团体标准</w:t>
                      </w:r>
                    </w:p>
                  </w:txbxContent>
                </v:textbox>
                <w10:anchorlock/>
              </v:shape>
            </w:pict>
          </mc:Fallback>
        </mc:AlternateContent>
      </w:r>
    </w:p>
    <w:p w14:paraId="1BF4A14F">
      <w:pPr>
        <w:pStyle w:val="79"/>
        <w:rPr>
          <w:highlight w:val="none"/>
        </w:rPr>
      </w:pPr>
      <w:r>
        <w:rPr>
          <w:rFonts w:hint="eastAsia"/>
          <w:highlight w:val="none"/>
        </w:rPr>
        <w:t>前    言</w:t>
      </w:r>
    </w:p>
    <w:p w14:paraId="42A9E5F7">
      <w:pPr>
        <w:pStyle w:val="124"/>
        <w:ind w:firstLine="420"/>
        <w:rPr>
          <w:rFonts w:ascii="Times New Roman"/>
          <w:highlight w:val="none"/>
        </w:rPr>
      </w:pPr>
      <w:r>
        <w:rPr>
          <w:rFonts w:ascii="Times New Roman"/>
          <w:highlight w:val="none"/>
        </w:rPr>
        <w:t>本</w:t>
      </w:r>
      <w:r>
        <w:rPr>
          <w:rFonts w:hint="eastAsia" w:ascii="Times New Roman"/>
          <w:highlight w:val="none"/>
        </w:rPr>
        <w:t>文件</w:t>
      </w:r>
      <w:r>
        <w:rPr>
          <w:rFonts w:ascii="Times New Roman"/>
          <w:highlight w:val="none"/>
        </w:rPr>
        <w:t>按照 GB/T 1.1—2020《</w:t>
      </w:r>
      <w:r>
        <w:rPr>
          <w:rFonts w:hint="eastAsia" w:ascii="Times New Roman"/>
          <w:highlight w:val="none"/>
        </w:rPr>
        <w:t>标准</w:t>
      </w:r>
      <w:r>
        <w:rPr>
          <w:rFonts w:ascii="Times New Roman"/>
          <w:highlight w:val="none"/>
        </w:rPr>
        <w:t>化工作导则  第1部分：</w:t>
      </w:r>
      <w:r>
        <w:rPr>
          <w:rFonts w:hint="eastAsia" w:ascii="Times New Roman"/>
          <w:highlight w:val="none"/>
        </w:rPr>
        <w:t>标准</w:t>
      </w:r>
      <w:r>
        <w:rPr>
          <w:rFonts w:ascii="Times New Roman"/>
          <w:highlight w:val="none"/>
        </w:rPr>
        <w:t>化</w:t>
      </w:r>
      <w:r>
        <w:rPr>
          <w:rFonts w:hint="eastAsia" w:ascii="Times New Roman"/>
          <w:highlight w:val="none"/>
        </w:rPr>
        <w:t>文件</w:t>
      </w:r>
      <w:r>
        <w:rPr>
          <w:rFonts w:ascii="Times New Roman"/>
          <w:highlight w:val="none"/>
        </w:rPr>
        <w:t>的结构和起草规则》的规定起草。</w:t>
      </w:r>
    </w:p>
    <w:p w14:paraId="76CE6C12">
      <w:pPr>
        <w:pStyle w:val="124"/>
        <w:ind w:firstLine="420"/>
        <w:rPr>
          <w:rFonts w:ascii="Times New Roman"/>
          <w:highlight w:val="none"/>
        </w:rPr>
      </w:pPr>
      <w:r>
        <w:rPr>
          <w:rFonts w:ascii="Times New Roman"/>
          <w:highlight w:val="none"/>
        </w:rPr>
        <w:t>本</w:t>
      </w:r>
      <w:r>
        <w:rPr>
          <w:rFonts w:hint="eastAsia" w:ascii="Times New Roman"/>
          <w:highlight w:val="none"/>
        </w:rPr>
        <w:t>文件</w:t>
      </w:r>
      <w:r>
        <w:rPr>
          <w:rFonts w:ascii="Times New Roman"/>
          <w:highlight w:val="none"/>
        </w:rPr>
        <w:t>由</w:t>
      </w:r>
      <w:r>
        <w:rPr>
          <w:rFonts w:hint="eastAsia" w:ascii="Times New Roman"/>
          <w:highlight w:val="none"/>
        </w:rPr>
        <w:t>中国香料香精化妆品工业协会</w:t>
      </w:r>
      <w:r>
        <w:rPr>
          <w:rFonts w:ascii="Times New Roman"/>
          <w:highlight w:val="none"/>
        </w:rPr>
        <w:t>提出</w:t>
      </w:r>
      <w:r>
        <w:rPr>
          <w:rFonts w:hint="eastAsia" w:ascii="Times New Roman"/>
          <w:highlight w:val="none"/>
        </w:rPr>
        <w:t>并</w:t>
      </w:r>
      <w:r>
        <w:rPr>
          <w:rFonts w:ascii="Times New Roman"/>
          <w:highlight w:val="none"/>
        </w:rPr>
        <w:t>归口。</w:t>
      </w:r>
    </w:p>
    <w:p w14:paraId="31A5C100">
      <w:pPr>
        <w:pStyle w:val="124"/>
        <w:ind w:firstLine="420"/>
        <w:rPr>
          <w:rFonts w:ascii="Times New Roman"/>
          <w:highlight w:val="none"/>
        </w:rPr>
      </w:pPr>
      <w:r>
        <w:rPr>
          <w:rFonts w:ascii="Times New Roman"/>
          <w:highlight w:val="none"/>
        </w:rPr>
        <w:t>本</w:t>
      </w:r>
      <w:r>
        <w:rPr>
          <w:rFonts w:hint="eastAsia" w:ascii="Times New Roman"/>
          <w:highlight w:val="none"/>
        </w:rPr>
        <w:t>文件</w:t>
      </w:r>
      <w:r>
        <w:rPr>
          <w:rFonts w:ascii="Times New Roman"/>
          <w:highlight w:val="none"/>
        </w:rPr>
        <w:t>起草单位：</w:t>
      </w:r>
      <w:r>
        <w:rPr>
          <w:rFonts w:hint="eastAsia" w:ascii="Times New Roman"/>
          <w:highlight w:val="none"/>
        </w:rPr>
        <w:t>深圳杉海创新技术有限公司、云南贝泰妮生物科技集团股份有限公司、北京华熙海御科技有限公司、诺德溯源（广州）生物科技有限公司、水羊化妆品制造有限公司、广东简莳精准生物科技有限公司、深圳市宗匠科技有限公司、深圳市千誉科技有限公司、惠州绵俪生物科技有限公司、时垠（上海）生物科技有限公司、美出莱（杭州）化妆品有限责任公司、哈尔滨敷尔佳科技发展有限公司、懿奈（上海）生物科技有限公司、广州熵增科技有限公司、百特威（上海）化妆品有限公司、深圳市容大生物科技股份有限公司、广州中妆美业化妆品有限公司、上海传美实业有限公司、广东艾粒生物科技有限公司、广州梵之容化妆品有限公司、广州梦尔达科技有限公司、上海集妍化妆品科技有限公司</w:t>
      </w:r>
    </w:p>
    <w:p w14:paraId="25112B91">
      <w:pPr>
        <w:pStyle w:val="124"/>
        <w:ind w:firstLine="420"/>
        <w:rPr>
          <w:rFonts w:ascii="Times New Roman"/>
          <w:highlight w:val="none"/>
        </w:rPr>
      </w:pPr>
      <w:r>
        <w:rPr>
          <w:rFonts w:ascii="Times New Roman"/>
          <w:highlight w:val="none"/>
        </w:rPr>
        <w:t>本</w:t>
      </w:r>
      <w:r>
        <w:rPr>
          <w:rFonts w:hint="eastAsia" w:ascii="Times New Roman"/>
          <w:highlight w:val="none"/>
        </w:rPr>
        <w:t>文件</w:t>
      </w:r>
      <w:r>
        <w:rPr>
          <w:rFonts w:ascii="Times New Roman"/>
          <w:highlight w:val="none"/>
        </w:rPr>
        <w:t>主要起草人：</w:t>
      </w:r>
    </w:p>
    <w:p w14:paraId="19F41983">
      <w:pPr>
        <w:pStyle w:val="58"/>
        <w:ind w:firstLine="420"/>
        <w:rPr>
          <w:rFonts w:hint="eastAsia" w:hAnsi="宋体"/>
          <w:highlight w:val="none"/>
        </w:rPr>
        <w:sectPr>
          <w:headerReference r:id="rId7" w:type="default"/>
          <w:footerReference r:id="rId9" w:type="default"/>
          <w:headerReference r:id="rId8" w:type="even"/>
          <w:footerReference r:id="rId10" w:type="even"/>
          <w:pgSz w:w="11907" w:h="16839"/>
          <w:pgMar w:top="1418" w:right="1134" w:bottom="1134" w:left="1418" w:header="1418" w:footer="851" w:gutter="0"/>
          <w:pgNumType w:fmt="upperRoman" w:start="1"/>
          <w:cols w:space="720" w:num="1"/>
          <w:docGrid w:type="lines" w:linePitch="312" w:charSpace="0"/>
        </w:sectPr>
      </w:pPr>
      <w:r>
        <w:rPr>
          <w:rFonts w:hint="eastAsia" w:hAnsi="宋体"/>
          <w:highlight w:val="none"/>
        </w:rPr>
        <w:t>请注意本文件的某些内容可能涉及专利。本文件的发布机构不承担识别专利的责任。</w:t>
      </w:r>
    </w:p>
    <w:bookmarkEnd w:id="0"/>
    <w:p w14:paraId="6130CC9F">
      <w:pPr>
        <w:pStyle w:val="78"/>
        <w:rPr>
          <w:rFonts w:hint="eastAsia"/>
          <w:highlight w:val="none"/>
          <w:lang w:val="en-US" w:eastAsia="zh-CN"/>
        </w:rPr>
      </w:pPr>
      <w:bookmarkStart w:id="1" w:name="SectionMark4"/>
      <w:r>
        <w:rPr>
          <w:rFonts w:ascii="Times New Roman"/>
          <w:highlight w:val="none"/>
        </w:rPr>
        <w:t>化妆品经皮</w:t>
      </w:r>
      <w:r>
        <w:rPr>
          <w:rFonts w:hint="eastAsia" w:ascii="Times New Roman"/>
          <w:highlight w:val="none"/>
        </w:rPr>
        <w:t>吸收 Franz扩散池法技术指南</w:t>
      </w:r>
      <w:bookmarkEnd w:id="1"/>
      <w:bookmarkStart w:id="2" w:name="_Toc24884211"/>
      <w:bookmarkStart w:id="3" w:name="_Toc143186215"/>
      <w:bookmarkStart w:id="4" w:name="_Toc20196"/>
      <w:bookmarkStart w:id="5" w:name="_Toc97195091"/>
      <w:bookmarkStart w:id="6" w:name="_Toc17233325"/>
      <w:bookmarkStart w:id="7" w:name="_Toc26986530"/>
      <w:bookmarkStart w:id="8" w:name="_Toc26986771"/>
      <w:bookmarkStart w:id="9" w:name="_Toc17233333"/>
      <w:bookmarkStart w:id="10" w:name="_Toc24884218"/>
      <w:bookmarkStart w:id="11" w:name="_Toc17548"/>
      <w:bookmarkStart w:id="12" w:name="_Toc25266"/>
      <w:bookmarkStart w:id="13" w:name="_Toc26648465"/>
      <w:bookmarkStart w:id="14" w:name="_Toc26718930"/>
      <w:bookmarkStart w:id="15" w:name="_Toc5035"/>
      <w:bookmarkStart w:id="16" w:name="_Toc159516818"/>
    </w:p>
    <w:p w14:paraId="1F488E3F">
      <w:pPr>
        <w:pStyle w:val="125"/>
        <w:spacing w:before="317" w:after="317"/>
        <w:rPr>
          <w:rFonts w:ascii="Times New Roman"/>
          <w:highlight w:val="none"/>
        </w:rPr>
      </w:pPr>
      <w:r>
        <w:rPr>
          <w:rFonts w:ascii="Times New Roman"/>
          <w:highlight w:val="none"/>
        </w:rPr>
        <w:t>范围</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06737C48">
      <w:pPr>
        <w:pStyle w:val="124"/>
        <w:ind w:firstLine="420"/>
        <w:rPr>
          <w:rFonts w:ascii="Times New Roman"/>
          <w:highlight w:val="none"/>
        </w:rPr>
      </w:pPr>
      <w:bookmarkStart w:id="17" w:name="_Hlk143941970"/>
      <w:bookmarkStart w:id="18" w:name="_Toc24884212"/>
      <w:bookmarkStart w:id="19" w:name="_Toc24884219"/>
      <w:bookmarkStart w:id="20" w:name="_Toc17233326"/>
      <w:bookmarkStart w:id="21" w:name="_Toc17233334"/>
      <w:bookmarkStart w:id="22" w:name="_Toc26648466"/>
      <w:r>
        <w:rPr>
          <w:rFonts w:ascii="Times New Roman"/>
          <w:highlight w:val="none"/>
        </w:rPr>
        <w:t>本</w:t>
      </w:r>
      <w:r>
        <w:rPr>
          <w:rFonts w:hint="eastAsia" w:ascii="Times New Roman"/>
          <w:highlight w:val="none"/>
        </w:rPr>
        <w:t>文件规定</w:t>
      </w:r>
      <w:r>
        <w:rPr>
          <w:rFonts w:ascii="Times New Roman"/>
          <w:highlight w:val="none"/>
        </w:rPr>
        <w:t>了</w:t>
      </w:r>
      <w:r>
        <w:rPr>
          <w:rFonts w:hint="eastAsia" w:ascii="Times New Roman"/>
          <w:highlight w:val="none"/>
        </w:rPr>
        <w:t>化妆品</w:t>
      </w:r>
      <w:r>
        <w:rPr>
          <w:rFonts w:ascii="Times New Roman"/>
          <w:highlight w:val="none"/>
        </w:rPr>
        <w:t>经皮</w:t>
      </w:r>
      <w:r>
        <w:rPr>
          <w:rFonts w:hint="eastAsia" w:ascii="Times New Roman"/>
          <w:highlight w:val="none"/>
        </w:rPr>
        <w:t>吸收Franz扩散池法的术语和定义、试验原</w:t>
      </w:r>
      <w:r>
        <w:rPr>
          <w:rFonts w:ascii="Times New Roman"/>
          <w:highlight w:val="none"/>
        </w:rPr>
        <w:t>理、</w:t>
      </w:r>
      <w:r>
        <w:rPr>
          <w:rFonts w:hint="eastAsia" w:ascii="Times New Roman"/>
          <w:highlight w:val="none"/>
        </w:rPr>
        <w:t>试验方法</w:t>
      </w:r>
      <w:r>
        <w:rPr>
          <w:rFonts w:ascii="Times New Roman"/>
          <w:highlight w:val="none"/>
        </w:rPr>
        <w:t>、</w:t>
      </w:r>
      <w:r>
        <w:rPr>
          <w:rStyle w:val="39"/>
          <w:highlight w:val="none"/>
        </w:rPr>
        <w:t>数据处理</w:t>
      </w:r>
      <w:r>
        <w:rPr>
          <w:rStyle w:val="39"/>
          <w:rFonts w:hint="eastAsia"/>
          <w:highlight w:val="none"/>
        </w:rPr>
        <w:t>及报告内容</w:t>
      </w:r>
      <w:r>
        <w:rPr>
          <w:rFonts w:ascii="Times New Roman"/>
          <w:highlight w:val="none"/>
        </w:rPr>
        <w:t>。</w:t>
      </w:r>
    </w:p>
    <w:p w14:paraId="55030322">
      <w:pPr>
        <w:pStyle w:val="124"/>
        <w:ind w:firstLine="420"/>
        <w:rPr>
          <w:rFonts w:ascii="Times New Roman"/>
          <w:highlight w:val="none"/>
        </w:rPr>
      </w:pPr>
      <w:r>
        <w:rPr>
          <w:rFonts w:ascii="Times New Roman"/>
          <w:highlight w:val="none"/>
        </w:rPr>
        <w:t>本</w:t>
      </w:r>
      <w:r>
        <w:rPr>
          <w:rFonts w:hint="eastAsia" w:ascii="Times New Roman"/>
          <w:highlight w:val="none"/>
        </w:rPr>
        <w:t>文件</w:t>
      </w:r>
      <w:r>
        <w:rPr>
          <w:rFonts w:ascii="Times New Roman"/>
          <w:highlight w:val="none"/>
        </w:rPr>
        <w:t>适用于化妆品</w:t>
      </w:r>
      <w:r>
        <w:rPr>
          <w:rFonts w:hint="eastAsia" w:ascii="Times New Roman"/>
          <w:highlight w:val="none"/>
        </w:rPr>
        <w:t>及其原料的</w:t>
      </w:r>
      <w:r>
        <w:rPr>
          <w:rFonts w:ascii="Times New Roman"/>
          <w:highlight w:val="none"/>
        </w:rPr>
        <w:t>经皮</w:t>
      </w:r>
      <w:r>
        <w:rPr>
          <w:rFonts w:hint="eastAsia" w:ascii="Times New Roman"/>
          <w:highlight w:val="none"/>
        </w:rPr>
        <w:t>吸收测试</w:t>
      </w:r>
      <w:r>
        <w:rPr>
          <w:rFonts w:ascii="Times New Roman"/>
          <w:highlight w:val="none"/>
        </w:rPr>
        <w:t>。</w:t>
      </w:r>
    </w:p>
    <w:bookmarkEnd w:id="17"/>
    <w:p w14:paraId="0D68EAD3">
      <w:pPr>
        <w:pStyle w:val="125"/>
        <w:spacing w:before="317" w:after="317"/>
        <w:rPr>
          <w:rFonts w:ascii="Times New Roman"/>
          <w:highlight w:val="none"/>
        </w:rPr>
      </w:pPr>
      <w:bookmarkStart w:id="23" w:name="_Toc26718931"/>
      <w:bookmarkStart w:id="24" w:name="_Toc97195092"/>
      <w:bookmarkStart w:id="25" w:name="_Toc143186216"/>
      <w:bookmarkStart w:id="26" w:name="_Toc26986772"/>
      <w:bookmarkStart w:id="27" w:name="_Toc26986531"/>
      <w:bookmarkStart w:id="28" w:name="_Toc17633"/>
      <w:bookmarkStart w:id="29" w:name="_Toc27126"/>
      <w:bookmarkStart w:id="30" w:name="_Toc3513"/>
      <w:bookmarkStart w:id="31" w:name="_Toc15783"/>
      <w:bookmarkStart w:id="32" w:name="_Toc159516819"/>
      <w:r>
        <w:rPr>
          <w:rFonts w:ascii="Times New Roman"/>
          <w:highlight w:val="none"/>
        </w:rPr>
        <w:t>规范性引用</w:t>
      </w:r>
      <w:bookmarkEnd w:id="18"/>
      <w:bookmarkEnd w:id="19"/>
      <w:bookmarkEnd w:id="20"/>
      <w:bookmarkEnd w:id="21"/>
      <w:bookmarkEnd w:id="22"/>
      <w:bookmarkEnd w:id="23"/>
      <w:bookmarkEnd w:id="24"/>
      <w:bookmarkEnd w:id="25"/>
      <w:bookmarkEnd w:id="26"/>
      <w:bookmarkEnd w:id="27"/>
      <w:r>
        <w:rPr>
          <w:rFonts w:hint="eastAsia" w:ascii="Times New Roman"/>
          <w:highlight w:val="none"/>
        </w:rPr>
        <w:t>文件</w:t>
      </w:r>
      <w:bookmarkEnd w:id="28"/>
      <w:bookmarkEnd w:id="29"/>
      <w:bookmarkEnd w:id="30"/>
      <w:bookmarkEnd w:id="31"/>
      <w:bookmarkEnd w:id="32"/>
    </w:p>
    <w:p w14:paraId="68BBEE72">
      <w:pPr>
        <w:pStyle w:val="124"/>
        <w:ind w:firstLine="420"/>
        <w:rPr>
          <w:rFonts w:ascii="Times New Roman"/>
          <w:highlight w:val="none"/>
        </w:rPr>
      </w:pPr>
      <w:r>
        <w:rPr>
          <w:rFonts w:hint="eastAsia" w:ascii="Times New Roman"/>
          <w:highlight w:val="none"/>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27F8ADB1">
      <w:pPr>
        <w:pStyle w:val="124"/>
        <w:ind w:firstLine="420"/>
        <w:rPr>
          <w:rFonts w:ascii="Times New Roman"/>
          <w:highlight w:val="none"/>
        </w:rPr>
      </w:pPr>
      <w:bookmarkStart w:id="33" w:name="_Toc12846"/>
      <w:r>
        <w:rPr>
          <w:rFonts w:ascii="Times New Roman"/>
          <w:highlight w:val="none"/>
        </w:rPr>
        <w:t>GB/T 6682 分析</w:t>
      </w:r>
      <w:r>
        <w:rPr>
          <w:rFonts w:hint="eastAsia" w:ascii="Times New Roman"/>
          <w:highlight w:val="none"/>
        </w:rPr>
        <w:t>实验</w:t>
      </w:r>
      <w:r>
        <w:rPr>
          <w:rFonts w:ascii="Times New Roman"/>
          <w:highlight w:val="none"/>
        </w:rPr>
        <w:t>室用水规格和试验方法</w:t>
      </w:r>
      <w:bookmarkEnd w:id="33"/>
    </w:p>
    <w:p w14:paraId="4987B38C">
      <w:pPr>
        <w:pStyle w:val="125"/>
        <w:spacing w:before="317" w:after="317"/>
        <w:rPr>
          <w:rFonts w:ascii="Times New Roman"/>
          <w:szCs w:val="21"/>
          <w:highlight w:val="none"/>
        </w:rPr>
      </w:pPr>
      <w:bookmarkStart w:id="34" w:name="_Toc10413"/>
      <w:bookmarkStart w:id="35" w:name="_Toc97195093"/>
      <w:bookmarkStart w:id="36" w:name="_Toc143186217"/>
      <w:bookmarkStart w:id="37" w:name="_Toc17572"/>
      <w:bookmarkStart w:id="38" w:name="_Toc13864"/>
      <w:bookmarkStart w:id="39" w:name="_Toc21628"/>
      <w:bookmarkStart w:id="40" w:name="_Toc159516820"/>
      <w:r>
        <w:rPr>
          <w:rFonts w:ascii="Times New Roman"/>
          <w:szCs w:val="21"/>
          <w:highlight w:val="none"/>
        </w:rPr>
        <w:t>术语和定义</w:t>
      </w:r>
      <w:bookmarkEnd w:id="34"/>
      <w:bookmarkEnd w:id="35"/>
      <w:bookmarkEnd w:id="36"/>
      <w:bookmarkEnd w:id="37"/>
      <w:bookmarkEnd w:id="38"/>
      <w:bookmarkEnd w:id="39"/>
      <w:bookmarkEnd w:id="40"/>
      <w:r>
        <w:rPr>
          <w:rFonts w:hint="eastAsia" w:ascii="Times New Roman"/>
          <w:szCs w:val="21"/>
          <w:highlight w:val="none"/>
        </w:rPr>
        <w:t xml:space="preserve">     </w:t>
      </w:r>
    </w:p>
    <w:p w14:paraId="6F1892BB">
      <w:pPr>
        <w:pStyle w:val="124"/>
        <w:ind w:firstLine="420"/>
        <w:rPr>
          <w:highlight w:val="none"/>
        </w:rPr>
      </w:pPr>
      <w:r>
        <w:rPr>
          <w:rFonts w:hint="eastAsia"/>
          <w:highlight w:val="none"/>
        </w:rPr>
        <w:t>下列术语和定义适用于本文件。</w:t>
      </w:r>
    </w:p>
    <w:p w14:paraId="71A668D6">
      <w:pPr>
        <w:pStyle w:val="126"/>
        <w:spacing w:before="158" w:after="158"/>
        <w:rPr>
          <w:rFonts w:hint="eastAsia" w:ascii="FZSSK--GBK1-0" w:hAnsi="FZSSK--GBK1-0"/>
          <w:color w:val="242021"/>
          <w:szCs w:val="21"/>
          <w:highlight w:val="none"/>
        </w:rPr>
      </w:pPr>
      <w:bookmarkStart w:id="41" w:name="_Toc26986532"/>
      <w:bookmarkEnd w:id="41"/>
      <w:bookmarkStart w:id="42" w:name="_Toc28749"/>
      <w:r>
        <w:rPr>
          <w:rFonts w:hint="eastAsia" w:ascii="FZSSK--GBK1-0" w:hAnsi="FZSSK--GBK1-0"/>
          <w:color w:val="242021"/>
          <w:szCs w:val="21"/>
          <w:highlight w:val="none"/>
        </w:rPr>
        <w:t>经皮吸收</w:t>
      </w:r>
      <w:bookmarkEnd w:id="42"/>
      <w:r>
        <w:rPr>
          <w:rFonts w:hint="eastAsia"/>
          <w:highlight w:val="none"/>
          <w:lang w:val="en-US" w:eastAsia="zh-CN"/>
        </w:rPr>
        <w:t xml:space="preserve"> tra</w:t>
      </w:r>
      <w:r>
        <w:rPr>
          <w:rFonts w:ascii="Times New Roman"/>
          <w:highlight w:val="none"/>
        </w:rPr>
        <w:t>nsdermal absorption</w:t>
      </w:r>
    </w:p>
    <w:p w14:paraId="04254FE0">
      <w:pPr>
        <w:pStyle w:val="124"/>
        <w:ind w:firstLine="420"/>
        <w:rPr>
          <w:highlight w:val="none"/>
        </w:rPr>
      </w:pPr>
      <w:r>
        <w:rPr>
          <w:rFonts w:hint="eastAsia"/>
          <w:highlight w:val="none"/>
        </w:rPr>
        <w:t>应用在皮肤表面的化学物质从皮肤表面扩散到接收液的过程。</w:t>
      </w:r>
    </w:p>
    <w:p w14:paraId="220FD5FE">
      <w:pPr>
        <w:pStyle w:val="126"/>
        <w:spacing w:before="158" w:after="158"/>
        <w:rPr>
          <w:rFonts w:ascii="Times New Roman"/>
          <w:highlight w:val="none"/>
        </w:rPr>
      </w:pPr>
      <w:bookmarkStart w:id="43" w:name="_Toc17945"/>
      <w:bookmarkStart w:id="44" w:name="_Toc12945"/>
      <w:bookmarkStart w:id="45" w:name="_Toc159516823"/>
      <w:bookmarkStart w:id="46" w:name="_Toc143186219"/>
      <w:r>
        <w:rPr>
          <w:rFonts w:hint="eastAsia" w:ascii="Times New Roman"/>
          <w:highlight w:val="none"/>
        </w:rPr>
        <w:t>累积渗透量</w:t>
      </w:r>
      <w:bookmarkEnd w:id="43"/>
      <w:bookmarkEnd w:id="44"/>
      <w:bookmarkEnd w:id="45"/>
      <w:bookmarkEnd w:id="46"/>
      <w:r>
        <w:rPr>
          <w:rFonts w:hint="eastAsia" w:ascii="Times New Roman"/>
          <w:highlight w:val="none"/>
          <w:lang w:val="en-US" w:eastAsia="zh-CN"/>
        </w:rPr>
        <w:t xml:space="preserve"> a</w:t>
      </w:r>
      <w:r>
        <w:rPr>
          <w:rFonts w:hint="eastAsia" w:ascii="Times New Roman"/>
          <w:highlight w:val="none"/>
        </w:rPr>
        <w:t>ccumulated penetration rate</w:t>
      </w:r>
    </w:p>
    <w:p w14:paraId="037EF563">
      <w:pPr>
        <w:pStyle w:val="124"/>
        <w:ind w:firstLine="420"/>
        <w:rPr>
          <w:rFonts w:ascii="Times New Roman"/>
          <w:highlight w:val="none"/>
        </w:rPr>
      </w:pPr>
      <w:r>
        <w:rPr>
          <w:rFonts w:hint="eastAsia" w:ascii="Times New Roman"/>
          <w:highlight w:val="none"/>
        </w:rPr>
        <w:t>指在一定时间内到达接收液的受试物的量。</w:t>
      </w:r>
    </w:p>
    <w:p w14:paraId="73FFC75C">
      <w:pPr>
        <w:pStyle w:val="126"/>
        <w:spacing w:before="158" w:after="158"/>
        <w:rPr>
          <w:rFonts w:ascii="Times New Roman"/>
          <w:highlight w:val="none"/>
        </w:rPr>
      </w:pPr>
      <w:bookmarkStart w:id="47" w:name="_Toc4315"/>
      <w:r>
        <w:rPr>
          <w:rFonts w:hint="eastAsia" w:ascii="Times New Roman"/>
          <w:highlight w:val="none"/>
        </w:rPr>
        <w:t>皮内滞留量</w:t>
      </w:r>
      <w:bookmarkEnd w:id="47"/>
      <w:r>
        <w:rPr>
          <w:rFonts w:hint="eastAsia" w:ascii="Times New Roman"/>
          <w:highlight w:val="none"/>
          <w:lang w:val="en-US" w:eastAsia="zh-CN"/>
        </w:rPr>
        <w:t xml:space="preserve"> i</w:t>
      </w:r>
      <w:r>
        <w:rPr>
          <w:rFonts w:ascii="Times New Roman"/>
          <w:highlight w:val="none"/>
        </w:rPr>
        <w:t>ntradermal retention</w:t>
      </w:r>
    </w:p>
    <w:p w14:paraId="39C8B051">
      <w:pPr>
        <w:pStyle w:val="124"/>
        <w:ind w:firstLine="420"/>
        <w:rPr>
          <w:rFonts w:hint="eastAsia" w:eastAsia="宋体"/>
          <w:highlight w:val="none"/>
          <w:lang w:eastAsia="zh-CN"/>
        </w:rPr>
      </w:pPr>
      <w:r>
        <w:rPr>
          <w:rFonts w:hint="eastAsia"/>
          <w:highlight w:val="none"/>
        </w:rPr>
        <w:t>试验完成后，表面经过</w:t>
      </w:r>
      <w:r>
        <w:rPr>
          <w:rFonts w:hint="eastAsia"/>
          <w:highlight w:val="none"/>
          <w:lang w:eastAsia="zh-CN"/>
        </w:rPr>
        <w:t>洗脱</w:t>
      </w:r>
      <w:r>
        <w:rPr>
          <w:rFonts w:hint="eastAsia"/>
          <w:highlight w:val="none"/>
        </w:rPr>
        <w:t>的皮肤中所含受试物的量</w:t>
      </w:r>
      <w:r>
        <w:rPr>
          <w:rFonts w:hint="eastAsia"/>
          <w:highlight w:val="none"/>
          <w:lang w:eastAsia="zh-CN"/>
        </w:rPr>
        <w:t>。</w:t>
      </w:r>
    </w:p>
    <w:p w14:paraId="2FF6ADC0">
      <w:pPr>
        <w:pStyle w:val="124"/>
        <w:ind w:firstLine="420"/>
        <w:rPr>
          <w:sz w:val="18"/>
          <w:szCs w:val="18"/>
          <w:highlight w:val="none"/>
        </w:rPr>
      </w:pPr>
      <w:r>
        <w:rPr>
          <w:rFonts w:hint="eastAsia" w:ascii="黑体" w:hAnsi="黑体" w:eastAsia="黑体" w:cs="黑体"/>
          <w:sz w:val="18"/>
          <w:szCs w:val="18"/>
          <w:highlight w:val="none"/>
          <w:lang w:val="en-US" w:eastAsia="zh-CN"/>
        </w:rPr>
        <w:t>注：</w:t>
      </w:r>
      <w:r>
        <w:rPr>
          <w:rFonts w:hint="eastAsia"/>
          <w:sz w:val="18"/>
          <w:szCs w:val="18"/>
          <w:highlight w:val="none"/>
        </w:rPr>
        <w:t>不含头两层或所有胶带中受试物的量。</w:t>
      </w:r>
    </w:p>
    <w:p w14:paraId="1051BB5C">
      <w:pPr>
        <w:pStyle w:val="126"/>
        <w:spacing w:before="158" w:after="158"/>
        <w:rPr>
          <w:rFonts w:ascii="Times New Roman"/>
          <w:szCs w:val="22"/>
          <w:highlight w:val="none"/>
        </w:rPr>
      </w:pPr>
      <w:bookmarkStart w:id="48" w:name="_Toc24880"/>
      <w:r>
        <w:rPr>
          <w:rFonts w:hint="eastAsia" w:ascii="Times New Roman"/>
          <w:szCs w:val="22"/>
          <w:highlight w:val="none"/>
        </w:rPr>
        <w:t>未吸收的量</w:t>
      </w:r>
      <w:bookmarkEnd w:id="48"/>
      <w:r>
        <w:rPr>
          <w:rFonts w:hint="eastAsia" w:ascii="Times New Roman"/>
          <w:szCs w:val="22"/>
          <w:highlight w:val="none"/>
          <w:lang w:val="en-US" w:eastAsia="zh-CN"/>
        </w:rPr>
        <w:t xml:space="preserve"> u</w:t>
      </w:r>
      <w:r>
        <w:rPr>
          <w:rFonts w:ascii="Times New Roman"/>
          <w:highlight w:val="none"/>
        </w:rPr>
        <w:t>nabsorbed amount</w:t>
      </w:r>
    </w:p>
    <w:p w14:paraId="02A0B26B">
      <w:pPr>
        <w:pStyle w:val="124"/>
        <w:ind w:firstLine="420"/>
        <w:rPr>
          <w:rFonts w:hint="eastAsia"/>
          <w:highlight w:val="none"/>
        </w:rPr>
      </w:pPr>
      <w:r>
        <w:rPr>
          <w:rFonts w:hint="eastAsia"/>
          <w:highlight w:val="none"/>
        </w:rPr>
        <w:t>指试验</w:t>
      </w:r>
      <w:r>
        <w:rPr>
          <w:rFonts w:hint="eastAsia"/>
          <w:highlight w:val="none"/>
          <w:lang w:val="en-US" w:eastAsia="zh-CN"/>
        </w:rPr>
        <w:t>完成</w:t>
      </w:r>
      <w:r>
        <w:rPr>
          <w:rFonts w:hint="eastAsia"/>
          <w:highlight w:val="none"/>
        </w:rPr>
        <w:t>后在皮肤表面以及实验器具上洗脱下来的受试物的量。</w:t>
      </w:r>
    </w:p>
    <w:p w14:paraId="3C58884B">
      <w:pPr>
        <w:pStyle w:val="124"/>
        <w:ind w:firstLine="420"/>
        <w:rPr>
          <w:highlight w:val="none"/>
        </w:rPr>
      </w:pPr>
      <w:r>
        <w:rPr>
          <w:rFonts w:hint="eastAsia" w:ascii="黑体" w:hAnsi="黑体" w:eastAsia="黑体" w:cs="黑体"/>
          <w:sz w:val="18"/>
          <w:szCs w:val="18"/>
          <w:highlight w:val="none"/>
          <w:lang w:val="en-US" w:eastAsia="zh-CN"/>
        </w:rPr>
        <w:t>注：</w:t>
      </w:r>
      <w:r>
        <w:rPr>
          <w:sz w:val="18"/>
          <w:szCs w:val="18"/>
          <w:highlight w:val="none"/>
        </w:rPr>
        <w:t>当渗透时长不到24h，应当将前两条胶带的量计入此部分，若渗透时长达到24h</w:t>
      </w:r>
      <w:r>
        <w:rPr>
          <w:rFonts w:hint="eastAsia"/>
          <w:sz w:val="18"/>
          <w:szCs w:val="18"/>
          <w:highlight w:val="none"/>
          <w:lang w:val="en-US" w:eastAsia="zh-CN"/>
        </w:rPr>
        <w:t>及24h以上</w:t>
      </w:r>
      <w:bookmarkStart w:id="119" w:name="_GoBack"/>
      <w:bookmarkEnd w:id="119"/>
      <w:r>
        <w:rPr>
          <w:rFonts w:hint="eastAsia"/>
          <w:sz w:val="18"/>
          <w:szCs w:val="18"/>
          <w:highlight w:val="none"/>
        </w:rPr>
        <w:t>，</w:t>
      </w:r>
      <w:r>
        <w:rPr>
          <w:sz w:val="18"/>
          <w:szCs w:val="18"/>
          <w:highlight w:val="none"/>
        </w:rPr>
        <w:t>应当将包括角质层部分的所有胶带上受试物含量计入此部分。</w:t>
      </w:r>
    </w:p>
    <w:p w14:paraId="2CCC640E">
      <w:pPr>
        <w:pStyle w:val="125"/>
        <w:spacing w:before="317" w:after="317"/>
        <w:rPr>
          <w:rFonts w:ascii="Times New Roman"/>
          <w:highlight w:val="none"/>
        </w:rPr>
      </w:pPr>
      <w:bookmarkStart w:id="49" w:name="_Toc159516831"/>
      <w:bookmarkStart w:id="50" w:name="_Toc8579"/>
      <w:bookmarkStart w:id="51" w:name="_Toc24388"/>
      <w:bookmarkStart w:id="52" w:name="_Toc143186229"/>
      <w:bookmarkStart w:id="53" w:name="_Toc15513"/>
      <w:bookmarkStart w:id="54" w:name="_Toc13224"/>
      <w:r>
        <w:rPr>
          <w:rFonts w:hint="eastAsia" w:ascii="Times New Roman"/>
          <w:highlight w:val="none"/>
        </w:rPr>
        <w:t>试验</w:t>
      </w:r>
      <w:r>
        <w:rPr>
          <w:rFonts w:ascii="Times New Roman"/>
          <w:highlight w:val="none"/>
        </w:rPr>
        <w:t>原理</w:t>
      </w:r>
      <w:bookmarkEnd w:id="49"/>
      <w:bookmarkEnd w:id="50"/>
      <w:bookmarkEnd w:id="51"/>
      <w:bookmarkEnd w:id="52"/>
      <w:bookmarkEnd w:id="53"/>
      <w:bookmarkEnd w:id="54"/>
    </w:p>
    <w:p w14:paraId="2FDE6CE7">
      <w:pPr>
        <w:pStyle w:val="124"/>
        <w:ind w:firstLine="420"/>
        <w:rPr>
          <w:rFonts w:ascii="Times New Roman"/>
          <w:highlight w:val="none"/>
        </w:rPr>
      </w:pPr>
      <w:r>
        <w:rPr>
          <w:rFonts w:hint="eastAsia" w:ascii="Times New Roman"/>
          <w:highlight w:val="none"/>
        </w:rPr>
        <w:t>将适合经皮吸收研究的皮肤模型安装在接收池和给样池之间，在给样池中定量的将受试物作用于皮肤模型表面，</w:t>
      </w:r>
      <w:r>
        <w:rPr>
          <w:rFonts w:ascii="Times New Roman"/>
          <w:highlight w:val="none"/>
        </w:rPr>
        <w:t>通过控制</w:t>
      </w:r>
      <w:r>
        <w:rPr>
          <w:rFonts w:hint="eastAsia" w:ascii="Times New Roman"/>
          <w:highlight w:val="none"/>
        </w:rPr>
        <w:t>试验</w:t>
      </w:r>
      <w:r>
        <w:rPr>
          <w:rFonts w:ascii="Times New Roman"/>
          <w:highlight w:val="none"/>
        </w:rPr>
        <w:t>温度与搅拌</w:t>
      </w:r>
      <w:r>
        <w:rPr>
          <w:rFonts w:hint="eastAsia" w:ascii="Times New Roman"/>
          <w:highlight w:val="none"/>
        </w:rPr>
        <w:t>速度在</w:t>
      </w:r>
      <w:r>
        <w:rPr>
          <w:rFonts w:ascii="Times New Roman"/>
          <w:highlight w:val="none"/>
        </w:rPr>
        <w:t>接</w:t>
      </w:r>
      <w:r>
        <w:rPr>
          <w:rFonts w:hint="eastAsia" w:ascii="Times New Roman"/>
          <w:highlight w:val="none"/>
        </w:rPr>
        <w:t>收</w:t>
      </w:r>
      <w:r>
        <w:rPr>
          <w:rFonts w:ascii="Times New Roman"/>
          <w:highlight w:val="none"/>
        </w:rPr>
        <w:t>池</w:t>
      </w:r>
      <w:r>
        <w:rPr>
          <w:rFonts w:hint="eastAsia" w:ascii="Times New Roman"/>
          <w:highlight w:val="none"/>
        </w:rPr>
        <w:t>中</w:t>
      </w:r>
      <w:r>
        <w:rPr>
          <w:rFonts w:ascii="Times New Roman"/>
          <w:highlight w:val="none"/>
        </w:rPr>
        <w:t>模拟皮下动态环境</w:t>
      </w:r>
      <w:r>
        <w:rPr>
          <w:rFonts w:hint="eastAsia" w:ascii="Times New Roman"/>
          <w:highlight w:val="none"/>
        </w:rPr>
        <w:t>进行经皮吸收试验。在整个经皮吸收过程中，在多个时间点对接收液进行取样并测定受试物含量，还应对</w:t>
      </w:r>
      <w:r>
        <w:rPr>
          <w:rFonts w:hint="eastAsia" w:ascii="Times New Roman"/>
          <w:highlight w:val="none"/>
          <w:lang w:val="en-US" w:eastAsia="zh-CN"/>
        </w:rPr>
        <w:t>皮内滞留量</w:t>
      </w:r>
      <w:r>
        <w:rPr>
          <w:rFonts w:hint="eastAsia" w:ascii="Times New Roman"/>
          <w:highlight w:val="none"/>
        </w:rPr>
        <w:t>以及未吸收的量进行测定，以此计算回收率等。</w:t>
      </w:r>
    </w:p>
    <w:p w14:paraId="71737058">
      <w:pPr>
        <w:pStyle w:val="124"/>
        <w:ind w:firstLine="420"/>
        <w:rPr>
          <w:rFonts w:ascii="Times New Roman"/>
          <w:highlight w:val="none"/>
        </w:rPr>
      </w:pPr>
      <w:r>
        <w:rPr>
          <w:rFonts w:hint="eastAsia" w:ascii="Times New Roman"/>
          <w:highlight w:val="none"/>
        </w:rPr>
        <w:t>为了保证试验结果的可靠性和准确性，在选择</w:t>
      </w:r>
      <w:r>
        <w:rPr>
          <w:rFonts w:hint="eastAsia" w:ascii="Times New Roman"/>
          <w:highlight w:val="none"/>
          <w:lang w:eastAsia="zh-CN"/>
        </w:rPr>
        <w:t>接收液</w:t>
      </w:r>
      <w:r>
        <w:rPr>
          <w:rFonts w:hint="eastAsia" w:ascii="Times New Roman"/>
          <w:highlight w:val="none"/>
        </w:rPr>
        <w:t>时要充分考虑受试物在</w:t>
      </w:r>
      <w:r>
        <w:rPr>
          <w:rFonts w:hint="eastAsia" w:ascii="Times New Roman"/>
          <w:highlight w:val="none"/>
          <w:lang w:eastAsia="zh-CN"/>
        </w:rPr>
        <w:t>接收液</w:t>
      </w:r>
      <w:r>
        <w:rPr>
          <w:rFonts w:hint="eastAsia" w:ascii="Times New Roman"/>
          <w:highlight w:val="none"/>
        </w:rPr>
        <w:t>中的稳定性和溶解度（尤其当</w:t>
      </w:r>
      <w:r>
        <w:rPr>
          <w:rFonts w:hint="eastAsia" w:ascii="Times New Roman"/>
          <w:highlight w:val="none"/>
          <w:lang w:eastAsia="zh-CN"/>
        </w:rPr>
        <w:t>受试物</w:t>
      </w:r>
      <w:r>
        <w:rPr>
          <w:rFonts w:hint="eastAsia" w:ascii="Times New Roman"/>
          <w:highlight w:val="none"/>
          <w:lang w:val="en-US" w:eastAsia="zh-CN"/>
        </w:rPr>
        <w:t>为亲脂</w:t>
      </w:r>
      <w:r>
        <w:rPr>
          <w:rFonts w:hint="eastAsia" w:ascii="Times New Roman"/>
          <w:highlight w:val="none"/>
        </w:rPr>
        <w:t>性成分时），通过在</w:t>
      </w:r>
      <w:r>
        <w:rPr>
          <w:rFonts w:hint="eastAsia" w:ascii="Times New Roman"/>
          <w:highlight w:val="none"/>
          <w:lang w:eastAsia="zh-CN"/>
        </w:rPr>
        <w:t>接收液</w:t>
      </w:r>
      <w:r>
        <w:rPr>
          <w:rFonts w:hint="eastAsia" w:ascii="Times New Roman"/>
          <w:highlight w:val="none"/>
        </w:rPr>
        <w:t>中加入合适比例乙醇、表面活性剂等调节剂来增加受试物溶解度，在</w:t>
      </w:r>
      <w:r>
        <w:rPr>
          <w:rFonts w:hint="eastAsia" w:ascii="Times New Roman"/>
          <w:highlight w:val="none"/>
          <w:lang w:eastAsia="zh-CN"/>
        </w:rPr>
        <w:t>接收液</w:t>
      </w:r>
      <w:r>
        <w:rPr>
          <w:rFonts w:hint="eastAsia" w:ascii="Times New Roman"/>
          <w:highlight w:val="none"/>
        </w:rPr>
        <w:t>中加入抗氧化剂等提高受试物稳定性。</w:t>
      </w:r>
    </w:p>
    <w:p w14:paraId="3E092E56">
      <w:pPr>
        <w:pStyle w:val="125"/>
        <w:spacing w:before="317" w:after="317"/>
        <w:rPr>
          <w:rFonts w:ascii="Times New Roman"/>
          <w:highlight w:val="none"/>
        </w:rPr>
      </w:pPr>
      <w:bookmarkStart w:id="55" w:name="_Toc17855"/>
      <w:bookmarkStart w:id="56" w:name="_Toc6831"/>
      <w:bookmarkStart w:id="57" w:name="_Toc6306"/>
      <w:r>
        <w:rPr>
          <w:rFonts w:hint="eastAsia" w:ascii="Times New Roman"/>
          <w:highlight w:val="none"/>
        </w:rPr>
        <w:t>试验方法</w:t>
      </w:r>
      <w:bookmarkEnd w:id="55"/>
      <w:bookmarkEnd w:id="56"/>
      <w:bookmarkEnd w:id="57"/>
    </w:p>
    <w:p w14:paraId="586C65BC">
      <w:pPr>
        <w:pStyle w:val="125"/>
        <w:numPr>
          <w:ilvl w:val="-1"/>
          <w:numId w:val="0"/>
        </w:numPr>
        <w:spacing w:before="317" w:after="317"/>
        <w:ind w:firstLine="420" w:firstLineChars="200"/>
        <w:rPr>
          <w:rFonts w:hint="default" w:ascii="Times New Roman" w:eastAsia="宋体"/>
          <w:highlight w:val="none"/>
          <w:lang w:val="en-US" w:eastAsia="zh-CN"/>
        </w:rPr>
      </w:pPr>
      <w:r>
        <w:rPr>
          <w:rFonts w:hint="default" w:ascii="Times New Roman" w:eastAsia="宋体"/>
          <w:highlight w:val="none"/>
          <w:lang w:val="en-US" w:eastAsia="zh-CN"/>
        </w:rPr>
        <w:t>除非另有说明，水为符合GB/T 6682规定的</w:t>
      </w:r>
      <w:r>
        <w:rPr>
          <w:rFonts w:hint="default" w:ascii="Times New Roman" w:eastAsia="宋体"/>
          <w:highlight w:val="none"/>
        </w:rPr>
        <w:t>一级水</w:t>
      </w:r>
      <w:r>
        <w:rPr>
          <w:rFonts w:hint="default" w:ascii="Times New Roman" w:eastAsia="宋体"/>
          <w:highlight w:val="none"/>
          <w:lang w:eastAsia="zh-CN"/>
        </w:rPr>
        <w:t>。</w:t>
      </w:r>
    </w:p>
    <w:p w14:paraId="23689569">
      <w:pPr>
        <w:pStyle w:val="126"/>
        <w:spacing w:before="158" w:after="158"/>
        <w:jc w:val="left"/>
        <w:rPr>
          <w:rFonts w:ascii="Times New Roman"/>
          <w:highlight w:val="none"/>
        </w:rPr>
      </w:pPr>
      <w:bookmarkStart w:id="58" w:name="_Toc9815"/>
      <w:r>
        <w:rPr>
          <w:rFonts w:hint="eastAsia" w:ascii="Times New Roman"/>
          <w:highlight w:val="none"/>
        </w:rPr>
        <w:t>扩散池</w:t>
      </w:r>
      <w:bookmarkEnd w:id="58"/>
    </w:p>
    <w:p w14:paraId="52CF30C2">
      <w:pPr>
        <w:pStyle w:val="124"/>
        <w:ind w:firstLine="420"/>
        <w:rPr>
          <w:rFonts w:hint="eastAsia" w:ascii="Times New Roman" w:eastAsia="宋体"/>
          <w:highlight w:val="none"/>
          <w:lang w:val="en-US" w:eastAsia="zh-CN"/>
        </w:rPr>
      </w:pPr>
      <w:r>
        <w:rPr>
          <w:rFonts w:ascii="Times New Roman"/>
          <w:highlight w:val="none"/>
        </w:rPr>
        <w:t>扩散池一般由给样池和接收池组成，图1为经典扩散池-Franz扩散池示意图。使用时</w:t>
      </w:r>
      <w:r>
        <w:rPr>
          <w:rFonts w:hint="eastAsia" w:ascii="Times New Roman"/>
          <w:highlight w:val="none"/>
        </w:rPr>
        <w:t>皮肤模型</w:t>
      </w:r>
      <w:r>
        <w:rPr>
          <w:rFonts w:ascii="Times New Roman"/>
          <w:highlight w:val="none"/>
        </w:rPr>
        <w:t>固定在两部分之间，并用弹簧夹将给样池、接收池和</w:t>
      </w:r>
      <w:r>
        <w:rPr>
          <w:rFonts w:hint="eastAsia" w:ascii="Times New Roman"/>
          <w:highlight w:val="none"/>
        </w:rPr>
        <w:t>皮肤模型</w:t>
      </w:r>
      <w:r>
        <w:rPr>
          <w:rFonts w:ascii="Times New Roman"/>
          <w:highlight w:val="none"/>
        </w:rPr>
        <w:t>固定住，保持扩散池与</w:t>
      </w:r>
      <w:r>
        <w:rPr>
          <w:rFonts w:hint="eastAsia" w:ascii="Times New Roman"/>
          <w:highlight w:val="none"/>
        </w:rPr>
        <w:t>皮肤模型</w:t>
      </w:r>
      <w:r>
        <w:rPr>
          <w:rFonts w:ascii="Times New Roman"/>
          <w:highlight w:val="none"/>
        </w:rPr>
        <w:t>之间的密封性。接收池中的液体应与</w:t>
      </w:r>
      <w:r>
        <w:rPr>
          <w:rFonts w:hint="eastAsia" w:ascii="Times New Roman"/>
          <w:highlight w:val="none"/>
        </w:rPr>
        <w:t>皮肤模型</w:t>
      </w:r>
      <w:r>
        <w:rPr>
          <w:rFonts w:ascii="Times New Roman"/>
          <w:highlight w:val="none"/>
        </w:rPr>
        <w:t>保持接触，同时扩散池系统温度应与人体皮肤温度一致，保持在32</w:t>
      </w:r>
      <w:r>
        <w:rPr>
          <w:rFonts w:hint="eastAsia" w:ascii="Times New Roman"/>
          <w:highlight w:val="none"/>
          <w:lang w:val="en-US" w:eastAsia="zh-CN"/>
        </w:rPr>
        <w:t xml:space="preserve"> </w:t>
      </w:r>
      <w:r>
        <w:rPr>
          <w:rFonts w:ascii="Times New Roman"/>
          <w:highlight w:val="none"/>
        </w:rPr>
        <w:t>℃±1</w:t>
      </w:r>
      <w:r>
        <w:rPr>
          <w:rFonts w:hint="eastAsia" w:ascii="Times New Roman"/>
          <w:highlight w:val="none"/>
        </w:rPr>
        <w:t xml:space="preserve"> </w:t>
      </w:r>
      <w:r>
        <w:rPr>
          <w:rFonts w:ascii="Times New Roman"/>
          <w:highlight w:val="none"/>
        </w:rPr>
        <w:t>℃。在整个试验过程中，应使给样池保持封闭。可根据需要选用静态扩散池或</w:t>
      </w:r>
      <w:r>
        <w:rPr>
          <w:rFonts w:hint="eastAsia" w:ascii="Times New Roman"/>
          <w:highlight w:val="none"/>
        </w:rPr>
        <w:t>循环流动式扩散池，循环流动式扩散池</w:t>
      </w:r>
      <w:r>
        <w:rPr>
          <w:rFonts w:ascii="Times New Roman"/>
          <w:highlight w:val="none"/>
        </w:rPr>
        <w:t>适用于需要对接收液连续取样，静态扩散池可以提高难以经皮</w:t>
      </w:r>
      <w:r>
        <w:rPr>
          <w:rFonts w:hint="eastAsia" w:ascii="Times New Roman"/>
          <w:highlight w:val="none"/>
        </w:rPr>
        <w:t>吸收受试</w:t>
      </w:r>
      <w:r>
        <w:rPr>
          <w:rFonts w:ascii="Times New Roman"/>
          <w:highlight w:val="none"/>
        </w:rPr>
        <w:t>物的测试敏感性。</w:t>
      </w:r>
    </w:p>
    <w:p w14:paraId="3CBFE53F">
      <w:pPr>
        <w:pStyle w:val="124"/>
        <w:ind w:firstLine="420"/>
        <w:rPr>
          <w:highlight w:val="none"/>
        </w:rPr>
      </w:pPr>
    </w:p>
    <w:p w14:paraId="420FDFB5">
      <w:pPr>
        <w:pStyle w:val="124"/>
        <w:ind w:firstLine="420"/>
        <w:rPr>
          <w:highlight w:val="none"/>
        </w:rPr>
      </w:pPr>
      <w:r>
        <w:rPr>
          <w:highlight w:val="none"/>
        </w:rPr>
        <w:drawing>
          <wp:inline distT="0" distB="0" distL="114300" distR="114300">
            <wp:extent cx="4504055" cy="2503805"/>
            <wp:effectExtent l="0" t="0" r="10795" b="10795"/>
            <wp:docPr id="20" name="图片 11" descr="1718075191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1" descr="1718075191413"/>
                    <pic:cNvPicPr>
                      <a:picLocks noChangeAspect="1"/>
                    </pic:cNvPicPr>
                  </pic:nvPicPr>
                  <pic:blipFill>
                    <a:blip r:embed="rId16"/>
                    <a:stretch>
                      <a:fillRect/>
                    </a:stretch>
                  </pic:blipFill>
                  <pic:spPr>
                    <a:xfrm>
                      <a:off x="0" y="0"/>
                      <a:ext cx="4504055" cy="2503805"/>
                    </a:xfrm>
                    <a:prstGeom prst="rect">
                      <a:avLst/>
                    </a:prstGeom>
                    <a:noFill/>
                    <a:ln>
                      <a:noFill/>
                    </a:ln>
                  </pic:spPr>
                </pic:pic>
              </a:graphicData>
            </a:graphic>
          </wp:inline>
        </w:drawing>
      </w:r>
    </w:p>
    <w:p w14:paraId="6B226B79">
      <w:pPr>
        <w:pStyle w:val="125"/>
        <w:numPr>
          <w:ilvl w:val="1"/>
          <w:numId w:val="0"/>
        </w:numPr>
        <w:spacing w:before="317" w:after="317"/>
        <w:jc w:val="center"/>
        <w:outlineLvl w:val="9"/>
        <w:rPr>
          <w:highlight w:val="none"/>
        </w:rPr>
      </w:pPr>
      <w:r>
        <w:rPr>
          <w:rFonts w:ascii="Times New Roman"/>
          <w:szCs w:val="21"/>
          <w:highlight w:val="none"/>
        </w:rPr>
        <w:t>图1</w:t>
      </w:r>
      <w:r>
        <w:rPr>
          <w:rFonts w:hint="eastAsia" w:ascii="Times New Roman"/>
          <w:b/>
          <w:bCs/>
          <w:szCs w:val="21"/>
          <w:highlight w:val="none"/>
        </w:rPr>
        <w:t xml:space="preserve"> </w:t>
      </w:r>
      <w:r>
        <w:rPr>
          <w:rFonts w:ascii="Times New Roman"/>
          <w:szCs w:val="21"/>
          <w:highlight w:val="none"/>
        </w:rPr>
        <w:t>Franz扩散池的示意图</w:t>
      </w:r>
    </w:p>
    <w:p w14:paraId="0FA702AF">
      <w:pPr>
        <w:pStyle w:val="126"/>
        <w:spacing w:before="158" w:after="158"/>
        <w:rPr>
          <w:rFonts w:ascii="Times New Roman"/>
          <w:highlight w:val="none"/>
        </w:rPr>
      </w:pPr>
      <w:bookmarkStart w:id="59" w:name="_Toc26085"/>
      <w:bookmarkStart w:id="60" w:name="_Hlk141535459"/>
      <w:r>
        <w:rPr>
          <w:rFonts w:hint="eastAsia" w:ascii="Times New Roman"/>
          <w:highlight w:val="none"/>
        </w:rPr>
        <w:t>接收液</w:t>
      </w:r>
      <w:bookmarkEnd w:id="59"/>
    </w:p>
    <w:p w14:paraId="4B9BE162">
      <w:pPr>
        <w:pStyle w:val="124"/>
        <w:ind w:firstLine="420"/>
        <w:rPr>
          <w:rFonts w:hint="eastAsia" w:ascii="Times New Roman" w:eastAsia="宋体"/>
          <w:highlight w:val="none"/>
          <w:lang w:val="en-US" w:eastAsia="zh-CN"/>
        </w:rPr>
      </w:pPr>
      <w:r>
        <w:rPr>
          <w:rFonts w:hint="eastAsia" w:ascii="Times New Roman"/>
          <w:highlight w:val="none"/>
        </w:rPr>
        <w:t>选择的接收液应不影响皮肤完整性，并能最大限度保护皮肤生理活性。接收液还应满足受试物在试验过程中所需的溶解度，对于水溶性</w:t>
      </w:r>
      <w:r>
        <w:rPr>
          <w:rFonts w:hint="eastAsia" w:ascii="Times New Roman"/>
          <w:highlight w:val="none"/>
          <w:lang w:val="en-US" w:eastAsia="zh-CN"/>
        </w:rPr>
        <w:t>成分</w:t>
      </w:r>
      <w:r>
        <w:rPr>
          <w:rFonts w:hint="eastAsia" w:ascii="Times New Roman"/>
          <w:highlight w:val="none"/>
        </w:rPr>
        <w:t>，接收液可以选用</w:t>
      </w:r>
      <w:r>
        <w:rPr>
          <w:rFonts w:hint="eastAsia" w:ascii="Times New Roman"/>
          <w:highlight w:val="none"/>
          <w:lang w:val="en-US" w:eastAsia="zh-CN"/>
        </w:rPr>
        <w:t>p</w:t>
      </w:r>
      <w:r>
        <w:rPr>
          <w:rFonts w:hint="eastAsia" w:ascii="Times New Roman"/>
          <w:highlight w:val="none"/>
        </w:rPr>
        <w:t>H=7.4的生理盐水或</w:t>
      </w:r>
      <w:r>
        <w:rPr>
          <w:rFonts w:hint="eastAsia" w:ascii="Times New Roman"/>
          <w:highlight w:val="none"/>
          <w:lang w:val="en-US" w:eastAsia="zh-CN"/>
        </w:rPr>
        <w:t>磷酸盐缓冲液</w:t>
      </w:r>
      <w:r>
        <w:rPr>
          <w:rFonts w:hint="eastAsia" w:ascii="Times New Roman"/>
          <w:highlight w:val="none"/>
        </w:rPr>
        <w:t>；当受试物为亲脂性</w:t>
      </w:r>
      <w:r>
        <w:rPr>
          <w:rFonts w:hint="eastAsia" w:ascii="Times New Roman"/>
          <w:highlight w:val="none"/>
          <w:lang w:val="en-US" w:eastAsia="zh-CN"/>
        </w:rPr>
        <w:t>成分</w:t>
      </w:r>
      <w:r>
        <w:rPr>
          <w:rFonts w:hint="eastAsia" w:ascii="Times New Roman"/>
          <w:highlight w:val="none"/>
        </w:rPr>
        <w:t>，接收液中可添加一定比例的（不超过50%）乙醇或6%聚氧乙烯月桂醚等改性剂增加溶解度，但应保证添加的改性剂不会破坏皮肤完整性且不会干扰后续的分析过程。</w:t>
      </w:r>
    </w:p>
    <w:p w14:paraId="57B73C03">
      <w:pPr>
        <w:pStyle w:val="124"/>
        <w:ind w:firstLine="420"/>
        <w:rPr>
          <w:rFonts w:ascii="Times New Roman"/>
          <w:highlight w:val="none"/>
        </w:rPr>
      </w:pPr>
      <w:r>
        <w:rPr>
          <w:rFonts w:hint="eastAsia" w:ascii="Times New Roman"/>
          <w:highlight w:val="none"/>
        </w:rPr>
        <w:t>为了保证试验结果的准确性与可靠性，应充分考察受试物在接收液中溶解度以及稳定性。</w:t>
      </w:r>
    </w:p>
    <w:bookmarkEnd w:id="60"/>
    <w:p w14:paraId="3B585CF2">
      <w:pPr>
        <w:pStyle w:val="127"/>
        <w:spacing w:before="158" w:after="158"/>
        <w:rPr>
          <w:rFonts w:ascii="Times New Roman"/>
          <w:highlight w:val="none"/>
        </w:rPr>
      </w:pPr>
      <w:r>
        <w:rPr>
          <w:rFonts w:hint="eastAsia" w:ascii="Times New Roman"/>
          <w:highlight w:val="none"/>
        </w:rPr>
        <w:t>溶解度的考察</w:t>
      </w:r>
    </w:p>
    <w:p w14:paraId="7D86FD13">
      <w:pPr>
        <w:pStyle w:val="124"/>
        <w:ind w:firstLine="420"/>
        <w:rPr>
          <w:highlight w:val="none"/>
        </w:rPr>
      </w:pPr>
      <w:r>
        <w:rPr>
          <w:rFonts w:hint="eastAsia" w:ascii="Times New Roman"/>
          <w:highlight w:val="none"/>
        </w:rPr>
        <w:t>应详细了解受试物物理化学性质（分子量、LogP值、溶解性等），对于缺乏证据表明具备较好水溶性的受试物或</w:t>
      </w:r>
      <w:r>
        <w:rPr>
          <w:rFonts w:hint="eastAsia" w:ascii="Times New Roman"/>
          <w:highlight w:val="none"/>
          <w:lang w:val="en-US" w:eastAsia="zh-CN"/>
        </w:rPr>
        <w:t>亲脂</w:t>
      </w:r>
      <w:r>
        <w:rPr>
          <w:rFonts w:hint="eastAsia" w:ascii="Times New Roman"/>
          <w:highlight w:val="none"/>
        </w:rPr>
        <w:t>性</w:t>
      </w:r>
      <w:r>
        <w:rPr>
          <w:rFonts w:hint="eastAsia" w:ascii="Times New Roman"/>
          <w:highlight w:val="none"/>
          <w:lang w:val="en-US" w:eastAsia="zh-CN"/>
        </w:rPr>
        <w:t>成分</w:t>
      </w:r>
      <w:r>
        <w:rPr>
          <w:rFonts w:hint="eastAsia" w:ascii="Times New Roman"/>
          <w:highlight w:val="none"/>
        </w:rPr>
        <w:t>要充分考察其在</w:t>
      </w:r>
      <w:r>
        <w:rPr>
          <w:rFonts w:hint="eastAsia" w:ascii="Times New Roman"/>
          <w:highlight w:val="none"/>
          <w:lang w:eastAsia="zh-CN"/>
        </w:rPr>
        <w:t>接收液</w:t>
      </w:r>
      <w:r>
        <w:rPr>
          <w:rFonts w:hint="eastAsia" w:ascii="Times New Roman"/>
          <w:highlight w:val="none"/>
        </w:rPr>
        <w:t>中的溶解性。将受试物添加至接收液直至饱和或达到足够高的浓度后，测定溶液中受试物浓度，判断接收液对受试物的溶解度是否满足试验需求。接收液中受试物的量在整个试验过程中不应超过饱和浓度的10%，以减小对受试物自由扩散的干扰。</w:t>
      </w:r>
    </w:p>
    <w:p w14:paraId="4FB8878C">
      <w:pPr>
        <w:pStyle w:val="127"/>
        <w:spacing w:before="158" w:after="158"/>
        <w:rPr>
          <w:rFonts w:ascii="Times New Roman"/>
          <w:szCs w:val="22"/>
          <w:highlight w:val="none"/>
        </w:rPr>
      </w:pPr>
      <w:r>
        <w:rPr>
          <w:rFonts w:hint="eastAsia" w:ascii="Times New Roman"/>
          <w:szCs w:val="22"/>
          <w:highlight w:val="none"/>
        </w:rPr>
        <w:t>受试物</w:t>
      </w:r>
      <w:r>
        <w:rPr>
          <w:rFonts w:ascii="Times New Roman"/>
          <w:szCs w:val="22"/>
          <w:highlight w:val="none"/>
        </w:rPr>
        <w:t>在</w:t>
      </w:r>
      <w:r>
        <w:rPr>
          <w:rFonts w:hint="eastAsia" w:ascii="Times New Roman"/>
          <w:szCs w:val="22"/>
          <w:highlight w:val="none"/>
          <w:lang w:eastAsia="zh-CN"/>
        </w:rPr>
        <w:t>接收液</w:t>
      </w:r>
      <w:r>
        <w:rPr>
          <w:rFonts w:ascii="Times New Roman"/>
          <w:szCs w:val="22"/>
          <w:highlight w:val="none"/>
        </w:rPr>
        <w:t>中稳定性的考察</w:t>
      </w:r>
    </w:p>
    <w:p w14:paraId="07A949B9">
      <w:pPr>
        <w:pStyle w:val="124"/>
        <w:ind w:firstLine="420" w:firstLineChars="0"/>
        <w:rPr>
          <w:rFonts w:ascii="Times New Roman"/>
          <w:highlight w:val="none"/>
        </w:rPr>
      </w:pPr>
      <w:r>
        <w:rPr>
          <w:rFonts w:hint="eastAsia" w:ascii="Times New Roman"/>
          <w:highlight w:val="none"/>
        </w:rPr>
        <w:t>使用</w:t>
      </w:r>
      <w:r>
        <w:rPr>
          <w:rFonts w:hint="eastAsia" w:ascii="Times New Roman"/>
          <w:highlight w:val="none"/>
          <w:lang w:eastAsia="zh-CN"/>
        </w:rPr>
        <w:t>接收液</w:t>
      </w:r>
      <w:r>
        <w:rPr>
          <w:rFonts w:hint="eastAsia" w:ascii="Times New Roman"/>
          <w:highlight w:val="none"/>
        </w:rPr>
        <w:t xml:space="preserve">配制高浓度和低浓度受试物溶液，于32 </w:t>
      </w:r>
      <w:r>
        <w:rPr>
          <w:rFonts w:ascii="Times New Roman"/>
          <w:highlight w:val="none"/>
        </w:rPr>
        <w:t>℃</w:t>
      </w:r>
      <w:r>
        <w:rPr>
          <w:rFonts w:hint="eastAsia" w:ascii="Times New Roman"/>
          <w:highlight w:val="none"/>
        </w:rPr>
        <w:t>储存0</w:t>
      </w:r>
      <w:r>
        <w:rPr>
          <w:rFonts w:hint="eastAsia" w:ascii="Times New Roman"/>
          <w:highlight w:val="none"/>
          <w:lang w:val="en-US" w:eastAsia="zh-CN"/>
        </w:rPr>
        <w:t xml:space="preserve"> </w:t>
      </w:r>
      <w:r>
        <w:rPr>
          <w:rFonts w:hint="eastAsia" w:ascii="Times New Roman"/>
          <w:highlight w:val="none"/>
        </w:rPr>
        <w:t>h、2</w:t>
      </w:r>
      <w:r>
        <w:rPr>
          <w:rFonts w:hint="eastAsia" w:ascii="Times New Roman"/>
          <w:highlight w:val="none"/>
          <w:lang w:val="en-US" w:eastAsia="zh-CN"/>
        </w:rPr>
        <w:t xml:space="preserve"> </w:t>
      </w:r>
      <w:r>
        <w:rPr>
          <w:rFonts w:hint="eastAsia" w:ascii="Times New Roman"/>
          <w:highlight w:val="none"/>
        </w:rPr>
        <w:t>h、4</w:t>
      </w:r>
      <w:r>
        <w:rPr>
          <w:rFonts w:hint="eastAsia" w:ascii="Times New Roman"/>
          <w:highlight w:val="none"/>
          <w:lang w:val="en-US" w:eastAsia="zh-CN"/>
        </w:rPr>
        <w:t xml:space="preserve"> </w:t>
      </w:r>
      <w:r>
        <w:rPr>
          <w:rFonts w:hint="eastAsia" w:ascii="Times New Roman"/>
          <w:highlight w:val="none"/>
        </w:rPr>
        <w:t>h、8</w:t>
      </w:r>
      <w:r>
        <w:rPr>
          <w:rFonts w:hint="eastAsia" w:ascii="Times New Roman"/>
          <w:highlight w:val="none"/>
          <w:lang w:val="en-US" w:eastAsia="zh-CN"/>
        </w:rPr>
        <w:t xml:space="preserve"> </w:t>
      </w:r>
      <w:r>
        <w:rPr>
          <w:rFonts w:hint="eastAsia" w:ascii="Times New Roman"/>
          <w:highlight w:val="none"/>
        </w:rPr>
        <w:t>h、24</w:t>
      </w:r>
      <w:r>
        <w:rPr>
          <w:rFonts w:hint="eastAsia" w:ascii="Times New Roman"/>
          <w:highlight w:val="none"/>
          <w:lang w:val="en-US" w:eastAsia="zh-CN"/>
        </w:rPr>
        <w:t xml:space="preserve"> </w:t>
      </w:r>
      <w:r>
        <w:rPr>
          <w:rFonts w:hint="eastAsia" w:ascii="Times New Roman"/>
          <w:highlight w:val="none"/>
        </w:rPr>
        <w:t>h、48</w:t>
      </w:r>
      <w:r>
        <w:rPr>
          <w:rFonts w:hint="eastAsia" w:ascii="Times New Roman"/>
          <w:highlight w:val="none"/>
          <w:lang w:val="en-US" w:eastAsia="zh-CN"/>
        </w:rPr>
        <w:t xml:space="preserve"> </w:t>
      </w:r>
      <w:r>
        <w:rPr>
          <w:rFonts w:hint="eastAsia" w:ascii="Times New Roman"/>
          <w:highlight w:val="none"/>
        </w:rPr>
        <w:t>h，同新配制的同一浓度标液一同测定，考察试验条件下受试物在接收液中的稳定性。</w:t>
      </w:r>
    </w:p>
    <w:p w14:paraId="36D13294">
      <w:pPr>
        <w:pStyle w:val="126"/>
        <w:spacing w:before="158" w:after="158"/>
        <w:rPr>
          <w:highlight w:val="none"/>
        </w:rPr>
      </w:pPr>
      <w:bookmarkStart w:id="61" w:name="_Toc27369"/>
      <w:r>
        <w:rPr>
          <w:rFonts w:hint="eastAsia" w:ascii="Times New Roman"/>
          <w:szCs w:val="22"/>
          <w:highlight w:val="none"/>
        </w:rPr>
        <w:t>漏液检测</w:t>
      </w:r>
      <w:bookmarkEnd w:id="61"/>
    </w:p>
    <w:p w14:paraId="12E416D6">
      <w:pPr>
        <w:pStyle w:val="124"/>
        <w:spacing w:before="158" w:after="158"/>
        <w:ind w:firstLine="420" w:firstLineChars="0"/>
        <w:rPr>
          <w:rFonts w:hint="eastAsia" w:ascii="Times New Roman" w:eastAsia="宋体"/>
          <w:highlight w:val="none"/>
        </w:rPr>
      </w:pPr>
      <w:r>
        <w:rPr>
          <w:rFonts w:hint="eastAsia" w:ascii="Times New Roman" w:eastAsia="宋体"/>
          <w:highlight w:val="none"/>
        </w:rPr>
        <w:t>搭建好给样池-皮肤模型-接收池装置后，添加适量体积的缓冲溶液或一级水于给样池中，保持10 min后检查是否有液体溢出给样池；在整个试验过程中，应持续关注是否存在漏液现象并保持弹簧夹紧绷；试验结束后，观察皮肤上</w:t>
      </w:r>
      <w:r>
        <w:rPr>
          <w:rFonts w:hint="eastAsia" w:ascii="Times New Roman" w:eastAsia="宋体"/>
          <w:highlight w:val="none"/>
          <w:lang w:eastAsia="zh-CN"/>
        </w:rPr>
        <w:t>受试物</w:t>
      </w:r>
      <w:r>
        <w:rPr>
          <w:rFonts w:hint="eastAsia" w:ascii="Times New Roman" w:eastAsia="宋体"/>
          <w:highlight w:val="none"/>
        </w:rPr>
        <w:t>是否溢出给样池边界。如存在漏液，应重新搭建新的扩散池。</w:t>
      </w:r>
    </w:p>
    <w:p w14:paraId="14A9F545">
      <w:pPr>
        <w:pStyle w:val="126"/>
        <w:spacing w:before="158" w:after="158"/>
        <w:rPr>
          <w:rFonts w:ascii="Times New Roman"/>
          <w:szCs w:val="22"/>
          <w:highlight w:val="none"/>
        </w:rPr>
      </w:pPr>
      <w:bookmarkStart w:id="62" w:name="_Toc6596"/>
      <w:r>
        <w:rPr>
          <w:rFonts w:hint="eastAsia" w:ascii="Times New Roman"/>
          <w:szCs w:val="22"/>
          <w:highlight w:val="none"/>
        </w:rPr>
        <w:t>试验环境</w:t>
      </w:r>
      <w:bookmarkEnd w:id="62"/>
    </w:p>
    <w:p w14:paraId="44C635DA">
      <w:pPr>
        <w:pStyle w:val="124"/>
        <w:ind w:firstLine="420"/>
        <w:rPr>
          <w:rFonts w:ascii="Times New Roman"/>
          <w:highlight w:val="none"/>
        </w:rPr>
      </w:pPr>
      <w:r>
        <w:rPr>
          <w:rFonts w:hint="eastAsia"/>
          <w:highlight w:val="none"/>
        </w:rPr>
        <w:t>实验室温度设定为</w:t>
      </w:r>
      <w:r>
        <w:rPr>
          <w:rFonts w:ascii="Times New Roman"/>
          <w:highlight w:val="none"/>
        </w:rPr>
        <w:t>10</w:t>
      </w:r>
      <w:r>
        <w:rPr>
          <w:rFonts w:hint="eastAsia" w:ascii="Times New Roman"/>
          <w:highlight w:val="none"/>
        </w:rPr>
        <w:t xml:space="preserve"> </w:t>
      </w:r>
      <w:r>
        <w:rPr>
          <w:rFonts w:ascii="Times New Roman"/>
          <w:highlight w:val="none"/>
        </w:rPr>
        <w:t>℃~30</w:t>
      </w:r>
      <w:r>
        <w:rPr>
          <w:rFonts w:hint="eastAsia" w:ascii="Times New Roman"/>
          <w:highlight w:val="none"/>
        </w:rPr>
        <w:t xml:space="preserve"> </w:t>
      </w:r>
      <w:r>
        <w:rPr>
          <w:rFonts w:ascii="Times New Roman"/>
          <w:highlight w:val="none"/>
        </w:rPr>
        <w:t>℃，相对湿度30</w:t>
      </w:r>
      <w:r>
        <w:rPr>
          <w:rFonts w:hint="eastAsia" w:ascii="Times New Roman"/>
          <w:highlight w:val="none"/>
        </w:rPr>
        <w:t>%</w:t>
      </w:r>
      <w:r>
        <w:rPr>
          <w:rFonts w:ascii="Times New Roman"/>
          <w:highlight w:val="none"/>
        </w:rPr>
        <w:t>~70%</w:t>
      </w:r>
      <w:r>
        <w:rPr>
          <w:rFonts w:hint="eastAsia" w:ascii="Times New Roman"/>
          <w:highlight w:val="none"/>
        </w:rPr>
        <w:t>。</w:t>
      </w:r>
    </w:p>
    <w:p w14:paraId="50939BA2">
      <w:pPr>
        <w:pStyle w:val="124"/>
        <w:ind w:firstLine="420"/>
        <w:rPr>
          <w:rFonts w:ascii="Times New Roman"/>
          <w:highlight w:val="none"/>
        </w:rPr>
      </w:pPr>
      <w:r>
        <w:rPr>
          <w:rFonts w:hint="eastAsia" w:ascii="Times New Roman"/>
          <w:highlight w:val="none"/>
        </w:rPr>
        <w:t>经皮扩散仪</w:t>
      </w:r>
      <w:r>
        <w:rPr>
          <w:rFonts w:ascii="Times New Roman"/>
          <w:highlight w:val="none"/>
        </w:rPr>
        <w:t>温度设定为32 ℃± 1</w:t>
      </w:r>
      <w:r>
        <w:rPr>
          <w:rFonts w:hint="eastAsia" w:ascii="Times New Roman"/>
          <w:highlight w:val="none"/>
        </w:rPr>
        <w:t xml:space="preserve"> </w:t>
      </w:r>
      <w:r>
        <w:rPr>
          <w:rFonts w:ascii="Times New Roman"/>
          <w:highlight w:val="none"/>
        </w:rPr>
        <w:t>℃，搅拌速度设定为</w:t>
      </w:r>
      <w:r>
        <w:rPr>
          <w:rFonts w:hint="eastAsia" w:ascii="Times New Roman"/>
          <w:highlight w:val="none"/>
        </w:rPr>
        <w:t>3</w:t>
      </w:r>
      <w:r>
        <w:rPr>
          <w:rFonts w:ascii="Times New Roman"/>
          <w:highlight w:val="none"/>
        </w:rPr>
        <w:t>50 rpm ± 10</w:t>
      </w:r>
      <w:r>
        <w:rPr>
          <w:rFonts w:hint="eastAsia" w:ascii="Times New Roman"/>
          <w:highlight w:val="none"/>
        </w:rPr>
        <w:t xml:space="preserve"> </w:t>
      </w:r>
      <w:r>
        <w:rPr>
          <w:rFonts w:ascii="Times New Roman"/>
          <w:highlight w:val="none"/>
        </w:rPr>
        <w:t>rpm</w:t>
      </w:r>
      <w:r>
        <w:rPr>
          <w:rFonts w:hint="eastAsia" w:ascii="Times New Roman"/>
          <w:highlight w:val="none"/>
        </w:rPr>
        <w:t>。</w:t>
      </w:r>
    </w:p>
    <w:p w14:paraId="36E20818">
      <w:pPr>
        <w:pStyle w:val="126"/>
        <w:spacing w:before="158" w:after="158"/>
        <w:rPr>
          <w:rFonts w:ascii="Times New Roman"/>
          <w:szCs w:val="22"/>
          <w:highlight w:val="none"/>
        </w:rPr>
      </w:pPr>
      <w:bookmarkStart w:id="63" w:name="_Toc30894"/>
      <w:r>
        <w:rPr>
          <w:rFonts w:hint="eastAsia" w:ascii="Times New Roman"/>
          <w:szCs w:val="22"/>
          <w:highlight w:val="none"/>
        </w:rPr>
        <w:t>试验设计</w:t>
      </w:r>
      <w:bookmarkEnd w:id="63"/>
    </w:p>
    <w:p w14:paraId="5D38AD80">
      <w:pPr>
        <w:pStyle w:val="124"/>
        <w:ind w:firstLine="420"/>
        <w:rPr>
          <w:rFonts w:ascii="Times New Roman"/>
          <w:highlight w:val="none"/>
        </w:rPr>
      </w:pPr>
      <w:r>
        <w:rPr>
          <w:rFonts w:hint="eastAsia" w:ascii="Times New Roman"/>
          <w:highlight w:val="none"/>
        </w:rPr>
        <w:t>可根据实际情况</w:t>
      </w:r>
      <w:r>
        <w:rPr>
          <w:rFonts w:ascii="Times New Roman"/>
          <w:highlight w:val="none"/>
        </w:rPr>
        <w:t>设置</w:t>
      </w:r>
      <w:r>
        <w:rPr>
          <w:rFonts w:hint="eastAsia" w:ascii="Times New Roman"/>
          <w:highlight w:val="none"/>
        </w:rPr>
        <w:t>实验</w:t>
      </w:r>
      <w:r>
        <w:rPr>
          <w:rFonts w:ascii="Times New Roman"/>
          <w:highlight w:val="none"/>
        </w:rPr>
        <w:t>组、空</w:t>
      </w:r>
      <w:r>
        <w:rPr>
          <w:rFonts w:hint="eastAsia" w:ascii="Times New Roman"/>
          <w:highlight w:val="none"/>
        </w:rPr>
        <w:t>白对照组、阳性对照组</w:t>
      </w:r>
      <w:r>
        <w:rPr>
          <w:rFonts w:ascii="Times New Roman"/>
          <w:highlight w:val="none"/>
        </w:rPr>
        <w:t>。</w:t>
      </w:r>
    </w:p>
    <w:p w14:paraId="466FF71C">
      <w:pPr>
        <w:pStyle w:val="124"/>
        <w:ind w:firstLine="420"/>
        <w:rPr>
          <w:highlight w:val="none"/>
        </w:rPr>
      </w:pPr>
      <w:r>
        <w:rPr>
          <w:rFonts w:ascii="Times New Roman"/>
          <w:highlight w:val="none"/>
        </w:rPr>
        <w:t>实验组应设置至少4次重复试验</w:t>
      </w:r>
      <w:r>
        <w:rPr>
          <w:rFonts w:hint="eastAsia"/>
          <w:highlight w:val="none"/>
        </w:rPr>
        <w:t>。</w:t>
      </w:r>
    </w:p>
    <w:p w14:paraId="3CBF8E3F">
      <w:pPr>
        <w:pStyle w:val="126"/>
        <w:spacing w:before="158" w:after="158"/>
        <w:rPr>
          <w:rFonts w:ascii="Times New Roman"/>
          <w:szCs w:val="22"/>
          <w:highlight w:val="none"/>
        </w:rPr>
      </w:pPr>
      <w:bookmarkStart w:id="64" w:name="_Toc27124"/>
      <w:r>
        <w:rPr>
          <w:rFonts w:hint="eastAsia" w:ascii="Times New Roman"/>
          <w:szCs w:val="22"/>
          <w:highlight w:val="none"/>
        </w:rPr>
        <w:t>皮肤</w:t>
      </w:r>
      <w:bookmarkEnd w:id="64"/>
      <w:r>
        <w:rPr>
          <w:rFonts w:hint="eastAsia" w:ascii="Times New Roman"/>
          <w:szCs w:val="22"/>
          <w:highlight w:val="none"/>
          <w:lang w:val="en-US" w:eastAsia="zh-CN"/>
        </w:rPr>
        <w:t>模型</w:t>
      </w:r>
    </w:p>
    <w:p w14:paraId="5F6CEA33">
      <w:pPr>
        <w:pStyle w:val="124"/>
        <w:ind w:firstLine="420"/>
        <w:rPr>
          <w:rFonts w:ascii="Times New Roman"/>
          <w:szCs w:val="22"/>
          <w:highlight w:val="none"/>
        </w:rPr>
      </w:pPr>
      <w:r>
        <w:rPr>
          <w:rFonts w:hint="eastAsia" w:ascii="Times New Roman"/>
          <w:szCs w:val="22"/>
          <w:highlight w:val="none"/>
        </w:rPr>
        <w:t>人类皮肤是最优的皮肤模型，相关使用需要符合国家和国际伦理学委员会条约的规定。也可以选用合适的动物皮肤进行经皮吸收试验。大鼠皮肤的渗透性是人类皮肤的2</w:t>
      </w:r>
      <w:r>
        <w:rPr>
          <w:rFonts w:ascii="Times New Roman"/>
          <w:highlight w:val="none"/>
        </w:rPr>
        <w:t>~</w:t>
      </w:r>
      <w:r>
        <w:rPr>
          <w:rFonts w:hint="eastAsia" w:ascii="Times New Roman"/>
          <w:szCs w:val="22"/>
          <w:highlight w:val="none"/>
        </w:rPr>
        <w:t>10倍，一般不推荐使用，建议使用与人类皮肤基本渗透特性相似的猪皮，可以选用猪耳、腹部等部位皮肤作为皮肤模型，例如8周龄巴马小香猪腹部皮肤。</w:t>
      </w:r>
    </w:p>
    <w:p w14:paraId="2A8F81B7">
      <w:pPr>
        <w:pStyle w:val="124"/>
        <w:ind w:firstLine="360"/>
        <w:rPr>
          <w:rFonts w:ascii="Times New Roman"/>
          <w:szCs w:val="22"/>
          <w:highlight w:val="none"/>
        </w:rPr>
      </w:pPr>
      <w:r>
        <w:rPr>
          <w:rFonts w:hint="eastAsia" w:ascii="黑体" w:hAnsi="黑体" w:eastAsia="黑体" w:cs="黑体"/>
          <w:sz w:val="18"/>
          <w:szCs w:val="18"/>
          <w:highlight w:val="none"/>
        </w:rPr>
        <w:t>注：</w:t>
      </w:r>
      <w:r>
        <w:rPr>
          <w:rFonts w:hint="eastAsia" w:ascii="Times New Roman"/>
          <w:sz w:val="18"/>
          <w:szCs w:val="18"/>
          <w:highlight w:val="none"/>
        </w:rPr>
        <w:t>人工膜和3D细胞皮肤模型可参考执行；除本文件外的其他适用于本文件的皮肤模型需经评估后再使用本方法。</w:t>
      </w:r>
    </w:p>
    <w:p w14:paraId="0AEFCBDC">
      <w:pPr>
        <w:pStyle w:val="127"/>
        <w:spacing w:before="158" w:after="158"/>
        <w:rPr>
          <w:rFonts w:ascii="Times New Roman"/>
          <w:szCs w:val="22"/>
          <w:highlight w:val="none"/>
        </w:rPr>
      </w:pPr>
      <w:r>
        <w:rPr>
          <w:rFonts w:hint="eastAsia" w:ascii="Times New Roman"/>
          <w:szCs w:val="22"/>
          <w:highlight w:val="none"/>
        </w:rPr>
        <w:t>皮肤制备</w:t>
      </w:r>
    </w:p>
    <w:p w14:paraId="26CC721D">
      <w:pPr>
        <w:pStyle w:val="124"/>
        <w:ind w:firstLine="420"/>
        <w:rPr>
          <w:rFonts w:ascii="Times New Roman"/>
          <w:highlight w:val="none"/>
        </w:rPr>
      </w:pPr>
      <w:r>
        <w:rPr>
          <w:rFonts w:ascii="Times New Roman"/>
          <w:szCs w:val="22"/>
          <w:highlight w:val="none"/>
        </w:rPr>
        <w:t>皮肤模型可以是表皮、全皮或经过分离的皮肤。</w:t>
      </w:r>
      <w:r>
        <w:rPr>
          <w:rFonts w:ascii="Times New Roman"/>
          <w:highlight w:val="none"/>
        </w:rPr>
        <w:t>将离体皮肤去掉肌肉和结缔组织，使用手术刀小心刮去皮下脂肪，直到观察到真皮层的网状纤维（厚度约为1.0 mm），使用电动剃须刀将表面毛发剔除至</w:t>
      </w:r>
      <w:r>
        <w:rPr>
          <w:rFonts w:hint="eastAsia" w:ascii="Times New Roman"/>
          <w:highlight w:val="none"/>
        </w:rPr>
        <w:t>≤</w:t>
      </w:r>
      <w:r>
        <w:rPr>
          <w:rFonts w:ascii="Times New Roman"/>
          <w:highlight w:val="none"/>
        </w:rPr>
        <w:t>3 mm，即得全皮。将全皮在60</w:t>
      </w:r>
      <w:r>
        <w:rPr>
          <w:rFonts w:hint="eastAsia" w:ascii="Times New Roman"/>
          <w:highlight w:val="none"/>
        </w:rPr>
        <w:t xml:space="preserve"> </w:t>
      </w:r>
      <w:r>
        <w:rPr>
          <w:rFonts w:ascii="Times New Roman"/>
          <w:highlight w:val="none"/>
        </w:rPr>
        <w:t>℃水中放置1</w:t>
      </w:r>
      <w:r>
        <w:rPr>
          <w:rFonts w:hint="eastAsia" w:ascii="Times New Roman"/>
          <w:highlight w:val="none"/>
          <w:lang w:val="en-US" w:eastAsia="zh-CN"/>
        </w:rPr>
        <w:t xml:space="preserve"> </w:t>
      </w:r>
      <w:r>
        <w:rPr>
          <w:rFonts w:hint="eastAsia" w:ascii="Times New Roman"/>
          <w:highlight w:val="none"/>
        </w:rPr>
        <w:t>min~</w:t>
      </w:r>
      <w:r>
        <w:rPr>
          <w:rFonts w:ascii="Times New Roman"/>
          <w:highlight w:val="none"/>
        </w:rPr>
        <w:t>2 min，使用镊子剥离表皮，或使用化学分离（2M 溴化钠），使用蛋白酶或细菌胶原酶等进行酶分离来制备表皮层。选用经过分离的皮肤，厚度一般在200</w:t>
      </w:r>
      <w:r>
        <w:rPr>
          <w:rFonts w:hint="eastAsia" w:ascii="Times New Roman"/>
          <w:highlight w:val="none"/>
        </w:rPr>
        <w:t xml:space="preserve"> </w:t>
      </w:r>
      <w:r>
        <w:rPr>
          <w:rFonts w:ascii="Times New Roman"/>
          <w:highlight w:val="none"/>
        </w:rPr>
        <w:t>μm~400</w:t>
      </w:r>
      <w:r>
        <w:rPr>
          <w:rFonts w:hint="eastAsia" w:ascii="Times New Roman"/>
          <w:highlight w:val="none"/>
        </w:rPr>
        <w:t xml:space="preserve"> </w:t>
      </w:r>
      <w:r>
        <w:rPr>
          <w:rFonts w:ascii="Times New Roman"/>
          <w:highlight w:val="none"/>
        </w:rPr>
        <w:t>μm，全厚皮肤在1 mm左右。</w:t>
      </w:r>
    </w:p>
    <w:p w14:paraId="1BDB1E19">
      <w:pPr>
        <w:pStyle w:val="127"/>
        <w:spacing w:before="158" w:after="158"/>
        <w:rPr>
          <w:rFonts w:ascii="Times New Roman"/>
          <w:szCs w:val="22"/>
          <w:highlight w:val="none"/>
        </w:rPr>
      </w:pPr>
      <w:r>
        <w:rPr>
          <w:rFonts w:hint="eastAsia" w:ascii="Times New Roman"/>
          <w:szCs w:val="22"/>
          <w:highlight w:val="none"/>
        </w:rPr>
        <w:t>皮肤储存及完整性</w:t>
      </w:r>
    </w:p>
    <w:p w14:paraId="5E95E880">
      <w:pPr>
        <w:pStyle w:val="124"/>
        <w:ind w:firstLine="420"/>
        <w:rPr>
          <w:rFonts w:ascii="Times New Roman"/>
          <w:szCs w:val="22"/>
          <w:highlight w:val="none"/>
        </w:rPr>
      </w:pPr>
      <w:r>
        <w:rPr>
          <w:rFonts w:hint="eastAsia" w:ascii="Times New Roman"/>
          <w:szCs w:val="22"/>
          <w:highlight w:val="none"/>
        </w:rPr>
        <w:t xml:space="preserve">切除的新鲜皮肤可以立即使用或冷冻保存。有研究表明，储存在-20 </w:t>
      </w:r>
      <w:r>
        <w:rPr>
          <w:rFonts w:ascii="Times New Roman"/>
          <w:highlight w:val="none"/>
        </w:rPr>
        <w:t>℃</w:t>
      </w:r>
      <w:r>
        <w:rPr>
          <w:rFonts w:hint="eastAsia" w:ascii="Times New Roman"/>
          <w:szCs w:val="22"/>
          <w:highlight w:val="none"/>
        </w:rPr>
        <w:t xml:space="preserve">的皮肤与新鲜皮肤的渗透性没有显著变化，但存储在-80 </w:t>
      </w:r>
      <w:r>
        <w:rPr>
          <w:rFonts w:ascii="Times New Roman"/>
          <w:highlight w:val="none"/>
        </w:rPr>
        <w:t>℃</w:t>
      </w:r>
      <w:r>
        <w:rPr>
          <w:rFonts w:hint="eastAsia" w:ascii="Times New Roman"/>
          <w:szCs w:val="22"/>
          <w:highlight w:val="none"/>
        </w:rPr>
        <w:t>环境中会导致皮肤渗透性增加。为了便于储存和后续</w:t>
      </w:r>
      <w:r>
        <w:rPr>
          <w:rFonts w:hint="eastAsia" w:ascii="Times New Roman"/>
          <w:szCs w:val="22"/>
          <w:highlight w:val="none"/>
          <w:lang w:val="en-US" w:eastAsia="zh-CN"/>
        </w:rPr>
        <w:t>试验</w:t>
      </w:r>
      <w:r>
        <w:rPr>
          <w:rFonts w:hint="eastAsia" w:ascii="Times New Roman"/>
          <w:szCs w:val="22"/>
          <w:highlight w:val="none"/>
        </w:rPr>
        <w:t xml:space="preserve">，建议在储存前去除皮下组织，并且不应反复对皮肤冷冻和解冻，会导致皮肤渗透性增加。因此，在运输过程中，皮肤应处于4 </w:t>
      </w:r>
      <w:r>
        <w:rPr>
          <w:rFonts w:ascii="Times New Roman"/>
          <w:highlight w:val="none"/>
        </w:rPr>
        <w:t>℃</w:t>
      </w:r>
      <w:r>
        <w:rPr>
          <w:rFonts w:hint="eastAsia" w:ascii="Times New Roman"/>
          <w:szCs w:val="22"/>
          <w:highlight w:val="none"/>
        </w:rPr>
        <w:t xml:space="preserve">以下，并可以长期储存在-20 </w:t>
      </w:r>
      <w:r>
        <w:rPr>
          <w:rFonts w:ascii="Times New Roman"/>
          <w:highlight w:val="none"/>
        </w:rPr>
        <w:t>℃</w:t>
      </w:r>
      <w:r>
        <w:rPr>
          <w:rFonts w:hint="eastAsia" w:ascii="Times New Roman"/>
          <w:szCs w:val="22"/>
          <w:highlight w:val="none"/>
        </w:rPr>
        <w:t>环境下。但为了保证试验结果的可靠性，皮肤在使用前都应该进行完整性检查。</w:t>
      </w:r>
    </w:p>
    <w:p w14:paraId="2090E8A8">
      <w:pPr>
        <w:pStyle w:val="124"/>
        <w:ind w:firstLine="420"/>
        <w:rPr>
          <w:rFonts w:ascii="Times New Roman"/>
          <w:szCs w:val="22"/>
          <w:highlight w:val="none"/>
        </w:rPr>
      </w:pPr>
      <w:r>
        <w:rPr>
          <w:rFonts w:hint="eastAsia" w:ascii="Times New Roman"/>
          <w:szCs w:val="22"/>
          <w:highlight w:val="none"/>
        </w:rPr>
        <w:t>保持皮肤表面干燥，评估角质层经皮失水（TEWL）值是否在正常范围内；或评估最高2 V交流电在皮肤内电阻值是否处于皮肤类型的正常范围内；或评估皮肤对标准物质（氚化水）的渗透是否是正常的。</w:t>
      </w:r>
    </w:p>
    <w:p w14:paraId="4D126257">
      <w:pPr>
        <w:pStyle w:val="126"/>
        <w:spacing w:before="158" w:after="158"/>
        <w:rPr>
          <w:rFonts w:ascii="Times New Roman"/>
          <w:szCs w:val="22"/>
          <w:highlight w:val="none"/>
        </w:rPr>
      </w:pPr>
      <w:bookmarkStart w:id="65" w:name="_Toc15046"/>
      <w:r>
        <w:rPr>
          <w:rFonts w:hint="eastAsia" w:ascii="Times New Roman"/>
          <w:szCs w:val="22"/>
          <w:highlight w:val="none"/>
        </w:rPr>
        <w:t>受试物</w:t>
      </w:r>
      <w:bookmarkEnd w:id="65"/>
    </w:p>
    <w:p w14:paraId="510078B4">
      <w:pPr>
        <w:pStyle w:val="124"/>
        <w:ind w:firstLine="420"/>
        <w:rPr>
          <w:rFonts w:ascii="Times New Roman"/>
          <w:highlight w:val="none"/>
        </w:rPr>
      </w:pPr>
      <w:r>
        <w:rPr>
          <w:rFonts w:hint="eastAsia" w:ascii="Times New Roman"/>
          <w:highlight w:val="none"/>
        </w:rPr>
        <w:t>当受试物为半固体或液体时，可以直接上样；当受试物为固体时，可以模拟皮肤被汗水浸润的情况，将固体受试物研磨至粉末状，然后尽量使用最小体积的水或生理盐水等将受试物润湿，制成糊状后进行试验，但应避免使用有机溶剂进行润湿。或者根据自身试验需求，选取其他合理受试物制备方式。</w:t>
      </w:r>
    </w:p>
    <w:p w14:paraId="670A8B65">
      <w:pPr>
        <w:pStyle w:val="126"/>
        <w:spacing w:before="158" w:after="158"/>
        <w:rPr>
          <w:rFonts w:ascii="Times New Roman"/>
          <w:szCs w:val="22"/>
          <w:highlight w:val="none"/>
        </w:rPr>
      </w:pPr>
      <w:bookmarkStart w:id="66" w:name="_Toc11859"/>
      <w:r>
        <w:rPr>
          <w:rFonts w:hint="eastAsia" w:ascii="Times New Roman"/>
          <w:szCs w:val="22"/>
          <w:highlight w:val="none"/>
        </w:rPr>
        <w:t>受试物使用量</w:t>
      </w:r>
      <w:bookmarkEnd w:id="66"/>
    </w:p>
    <w:p w14:paraId="270A6FDA">
      <w:pPr>
        <w:pStyle w:val="124"/>
        <w:ind w:firstLine="420"/>
        <w:rPr>
          <w:rFonts w:ascii="Times New Roman"/>
          <w:highlight w:val="none"/>
        </w:rPr>
      </w:pPr>
      <w:r>
        <w:rPr>
          <w:rFonts w:hint="eastAsia"/>
          <w:highlight w:val="none"/>
        </w:rPr>
        <w:t>根</w:t>
      </w:r>
      <w:r>
        <w:rPr>
          <w:rFonts w:ascii="Times New Roman"/>
          <w:highlight w:val="none"/>
        </w:rPr>
        <w:t>据试验需要，</w:t>
      </w:r>
      <w:r>
        <w:rPr>
          <w:rFonts w:hint="eastAsia" w:ascii="Times New Roman"/>
          <w:highlight w:val="none"/>
        </w:rPr>
        <w:t>受试物</w:t>
      </w:r>
      <w:r>
        <w:rPr>
          <w:rFonts w:ascii="Times New Roman"/>
          <w:highlight w:val="none"/>
        </w:rPr>
        <w:t>使用量可以分为有限剂量和无限剂量，当</w:t>
      </w:r>
      <w:r>
        <w:rPr>
          <w:rFonts w:hint="eastAsia" w:ascii="Times New Roman"/>
          <w:highlight w:val="none"/>
        </w:rPr>
        <w:t>受试物</w:t>
      </w:r>
      <w:r>
        <w:rPr>
          <w:rFonts w:ascii="Times New Roman"/>
          <w:highlight w:val="none"/>
        </w:rPr>
        <w:t>为固体、半固体，其有限剂量应不超过10 mg/cm</w:t>
      </w:r>
      <w:r>
        <w:rPr>
          <w:rFonts w:ascii="Times New Roman"/>
          <w:highlight w:val="none"/>
          <w:vertAlign w:val="superscript"/>
        </w:rPr>
        <w:t>2</w:t>
      </w:r>
      <w:r>
        <w:rPr>
          <w:rFonts w:ascii="Times New Roman"/>
          <w:highlight w:val="none"/>
        </w:rPr>
        <w:t>，无限剂量可使用超过10 mg/cm</w:t>
      </w:r>
      <w:r>
        <w:rPr>
          <w:rFonts w:ascii="Times New Roman"/>
          <w:highlight w:val="none"/>
          <w:vertAlign w:val="superscript"/>
        </w:rPr>
        <w:t>2</w:t>
      </w:r>
      <w:r>
        <w:rPr>
          <w:rFonts w:ascii="Times New Roman"/>
          <w:highlight w:val="none"/>
        </w:rPr>
        <w:t>；当</w:t>
      </w:r>
      <w:r>
        <w:rPr>
          <w:rFonts w:hint="eastAsia" w:ascii="Times New Roman"/>
          <w:highlight w:val="none"/>
        </w:rPr>
        <w:t>受试物</w:t>
      </w:r>
      <w:r>
        <w:rPr>
          <w:rFonts w:ascii="Times New Roman"/>
          <w:highlight w:val="none"/>
        </w:rPr>
        <w:t>为液体制剂，其有限剂量应不超过10 μL/cm</w:t>
      </w:r>
      <w:r>
        <w:rPr>
          <w:rFonts w:ascii="Times New Roman"/>
          <w:highlight w:val="none"/>
          <w:vertAlign w:val="superscript"/>
        </w:rPr>
        <w:t>2</w:t>
      </w:r>
      <w:r>
        <w:rPr>
          <w:rFonts w:ascii="Times New Roman"/>
          <w:highlight w:val="none"/>
        </w:rPr>
        <w:t>，无限剂量可使用超过100 μL/cm</w:t>
      </w:r>
      <w:r>
        <w:rPr>
          <w:rFonts w:ascii="Times New Roman"/>
          <w:highlight w:val="none"/>
          <w:vertAlign w:val="superscript"/>
        </w:rPr>
        <w:t>2</w:t>
      </w:r>
      <w:r>
        <w:rPr>
          <w:rFonts w:ascii="Times New Roman"/>
          <w:highlight w:val="none"/>
        </w:rPr>
        <w:t>。</w:t>
      </w:r>
      <w:r>
        <w:rPr>
          <w:rFonts w:hint="eastAsia" w:ascii="Times New Roman"/>
          <w:highlight w:val="none"/>
          <w:lang w:eastAsia="zh-CN"/>
        </w:rPr>
        <w:t>受试物</w:t>
      </w:r>
      <w:r>
        <w:rPr>
          <w:rFonts w:ascii="Times New Roman"/>
          <w:highlight w:val="none"/>
        </w:rPr>
        <w:t>应均匀涂抹于皮肤表面，对于黏附在涂布器上的</w:t>
      </w:r>
      <w:r>
        <w:rPr>
          <w:rFonts w:hint="eastAsia" w:ascii="Times New Roman"/>
          <w:highlight w:val="none"/>
          <w:lang w:eastAsia="zh-CN"/>
        </w:rPr>
        <w:t>受试物</w:t>
      </w:r>
      <w:r>
        <w:rPr>
          <w:rFonts w:ascii="Times New Roman"/>
          <w:highlight w:val="none"/>
        </w:rPr>
        <w:t>，应该从使用量中减去这部分的量以获得实际使用量。</w:t>
      </w:r>
    </w:p>
    <w:p w14:paraId="1956BB56">
      <w:pPr>
        <w:pStyle w:val="126"/>
        <w:spacing w:before="158" w:after="158"/>
        <w:rPr>
          <w:rFonts w:ascii="Times New Roman"/>
          <w:szCs w:val="22"/>
          <w:highlight w:val="none"/>
        </w:rPr>
      </w:pPr>
      <w:bookmarkStart w:id="67" w:name="_Toc26067"/>
      <w:r>
        <w:rPr>
          <w:rFonts w:hint="eastAsia" w:ascii="Times New Roman"/>
          <w:szCs w:val="22"/>
          <w:highlight w:val="none"/>
        </w:rPr>
        <w:t>试验时长</w:t>
      </w:r>
      <w:bookmarkEnd w:id="67"/>
    </w:p>
    <w:p w14:paraId="283644C9">
      <w:pPr>
        <w:pStyle w:val="124"/>
        <w:ind w:firstLine="420"/>
        <w:rPr>
          <w:rFonts w:ascii="Times New Roman"/>
          <w:highlight w:val="none"/>
        </w:rPr>
      </w:pPr>
      <w:r>
        <w:rPr>
          <w:rFonts w:ascii="Times New Roman"/>
          <w:highlight w:val="none"/>
        </w:rPr>
        <w:t>为了充分考察</w:t>
      </w:r>
      <w:r>
        <w:rPr>
          <w:rFonts w:hint="eastAsia" w:ascii="Times New Roman"/>
          <w:highlight w:val="none"/>
        </w:rPr>
        <w:t>受试物</w:t>
      </w:r>
      <w:r>
        <w:rPr>
          <w:rFonts w:ascii="Times New Roman"/>
          <w:highlight w:val="none"/>
        </w:rPr>
        <w:t>的渗透特性，整个渗透过程应</w:t>
      </w:r>
      <w:r>
        <w:rPr>
          <w:rFonts w:hint="eastAsia" w:ascii="Times New Roman"/>
          <w:highlight w:val="none"/>
        </w:rPr>
        <w:t>不超过</w:t>
      </w:r>
      <w:r>
        <w:rPr>
          <w:rFonts w:ascii="Times New Roman"/>
          <w:highlight w:val="none"/>
        </w:rPr>
        <w:t>24 h，并在试验过程中设置至少6个间隔适当的采样点。也可根据实际情况进行时间延长，但要充分考虑时间延长对</w:t>
      </w:r>
      <w:r>
        <w:rPr>
          <w:rFonts w:hint="eastAsia" w:ascii="Times New Roman"/>
          <w:highlight w:val="none"/>
        </w:rPr>
        <w:t>皮肤</w:t>
      </w:r>
      <w:r>
        <w:rPr>
          <w:rFonts w:ascii="Times New Roman"/>
          <w:highlight w:val="none"/>
        </w:rPr>
        <w:t>完整性的影响。对一些不需要在</w:t>
      </w:r>
      <w:r>
        <w:rPr>
          <w:rFonts w:hint="eastAsia" w:ascii="Times New Roman"/>
          <w:highlight w:val="none"/>
        </w:rPr>
        <w:t>皮肤</w:t>
      </w:r>
      <w:r>
        <w:rPr>
          <w:rFonts w:ascii="Times New Roman"/>
          <w:highlight w:val="none"/>
        </w:rPr>
        <w:t>长时间停留的</w:t>
      </w:r>
      <w:r>
        <w:rPr>
          <w:rFonts w:hint="eastAsia" w:ascii="Times New Roman"/>
          <w:highlight w:val="none"/>
          <w:lang w:eastAsia="zh-CN"/>
        </w:rPr>
        <w:t>受试物</w:t>
      </w:r>
      <w:r>
        <w:rPr>
          <w:rFonts w:ascii="Times New Roman"/>
          <w:highlight w:val="none"/>
        </w:rPr>
        <w:t>，可根据实际使用情况设置接触时长，并在</w:t>
      </w:r>
      <w:r>
        <w:rPr>
          <w:rFonts w:hint="eastAsia" w:ascii="Times New Roman"/>
          <w:highlight w:val="none"/>
          <w:lang w:eastAsia="zh-CN"/>
        </w:rPr>
        <w:t>受试物</w:t>
      </w:r>
      <w:r>
        <w:rPr>
          <w:rFonts w:ascii="Times New Roman"/>
          <w:highlight w:val="none"/>
        </w:rPr>
        <w:t>冲洗后再对接收液进行取样测量。例如对于染发剂，建议至少与皮肤接触30</w:t>
      </w:r>
      <w:r>
        <w:rPr>
          <w:rFonts w:hint="eastAsia" w:ascii="Times New Roman"/>
          <w:highlight w:val="none"/>
        </w:rPr>
        <w:t xml:space="preserve"> </w:t>
      </w:r>
      <w:r>
        <w:rPr>
          <w:rFonts w:ascii="Times New Roman"/>
          <w:highlight w:val="none"/>
        </w:rPr>
        <w:t>min后，模拟消费者使用习惯冲洗干净，</w:t>
      </w:r>
      <w:r>
        <w:rPr>
          <w:rFonts w:hint="eastAsia" w:ascii="Times New Roman"/>
          <w:highlight w:val="none"/>
        </w:rPr>
        <w:t>并</w:t>
      </w:r>
      <w:r>
        <w:rPr>
          <w:rFonts w:ascii="Times New Roman"/>
          <w:highlight w:val="none"/>
        </w:rPr>
        <w:t>对接收液的采样时间持续到24 h。</w:t>
      </w:r>
    </w:p>
    <w:p w14:paraId="3BEE1194">
      <w:pPr>
        <w:pStyle w:val="126"/>
        <w:spacing w:before="158" w:after="158"/>
        <w:rPr>
          <w:rFonts w:ascii="Times New Roman"/>
          <w:szCs w:val="22"/>
          <w:highlight w:val="none"/>
        </w:rPr>
      </w:pPr>
      <w:r>
        <w:rPr>
          <w:rFonts w:hint="eastAsia" w:ascii="Times New Roman"/>
          <w:szCs w:val="22"/>
          <w:highlight w:val="none"/>
        </w:rPr>
        <w:t xml:space="preserve"> </w:t>
      </w:r>
      <w:bookmarkStart w:id="68" w:name="_Toc31824"/>
      <w:r>
        <w:rPr>
          <w:rFonts w:hint="eastAsia" w:ascii="Times New Roman"/>
          <w:szCs w:val="22"/>
          <w:highlight w:val="none"/>
        </w:rPr>
        <w:t>皮肤胶带剥离处理</w:t>
      </w:r>
      <w:bookmarkEnd w:id="68"/>
    </w:p>
    <w:p w14:paraId="126D2217">
      <w:pPr>
        <w:pStyle w:val="124"/>
        <w:ind w:firstLine="420"/>
        <w:rPr>
          <w:rFonts w:ascii="Times New Roman"/>
          <w:highlight w:val="none"/>
        </w:rPr>
      </w:pPr>
      <w:r>
        <w:rPr>
          <w:rFonts w:hint="eastAsia" w:ascii="Times New Roman"/>
          <w:highlight w:val="none"/>
        </w:rPr>
        <w:t>试验</w:t>
      </w:r>
      <w:r>
        <w:rPr>
          <w:rFonts w:ascii="Times New Roman"/>
          <w:highlight w:val="none"/>
        </w:rPr>
        <w:t>结束后</w:t>
      </w:r>
      <w:r>
        <w:rPr>
          <w:rFonts w:hint="eastAsia" w:ascii="Times New Roman"/>
          <w:highlight w:val="none"/>
        </w:rPr>
        <w:t>，皮肤</w:t>
      </w:r>
      <w:r>
        <w:rPr>
          <w:rFonts w:ascii="Times New Roman"/>
          <w:highlight w:val="none"/>
        </w:rPr>
        <w:t>从扩散池取下，将</w:t>
      </w:r>
      <w:r>
        <w:rPr>
          <w:rFonts w:hint="eastAsia" w:ascii="Times New Roman"/>
          <w:highlight w:val="none"/>
        </w:rPr>
        <w:t>皮肤</w:t>
      </w:r>
      <w:r>
        <w:rPr>
          <w:rFonts w:ascii="Times New Roman"/>
          <w:highlight w:val="none"/>
        </w:rPr>
        <w:t>表面剩余</w:t>
      </w:r>
      <w:r>
        <w:rPr>
          <w:rFonts w:hint="eastAsia" w:ascii="Times New Roman"/>
          <w:highlight w:val="none"/>
          <w:lang w:eastAsia="zh-CN"/>
        </w:rPr>
        <w:t>受试物</w:t>
      </w:r>
      <w:r>
        <w:rPr>
          <w:rFonts w:ascii="Times New Roman"/>
          <w:highlight w:val="none"/>
        </w:rPr>
        <w:t>冲洗干净。可根据</w:t>
      </w:r>
      <w:r>
        <w:rPr>
          <w:rFonts w:hint="eastAsia" w:ascii="Times New Roman"/>
          <w:highlight w:val="none"/>
        </w:rPr>
        <w:t>试验</w:t>
      </w:r>
      <w:r>
        <w:rPr>
          <w:rFonts w:ascii="Times New Roman"/>
          <w:highlight w:val="none"/>
        </w:rPr>
        <w:t>要求对</w:t>
      </w:r>
      <w:r>
        <w:rPr>
          <w:rFonts w:hint="eastAsia" w:ascii="Times New Roman"/>
          <w:highlight w:val="none"/>
        </w:rPr>
        <w:t>皮肤</w:t>
      </w:r>
      <w:r>
        <w:rPr>
          <w:rFonts w:ascii="Times New Roman"/>
          <w:highlight w:val="none"/>
        </w:rPr>
        <w:t>进行胶带剥离，重复剥离15</w:t>
      </w:r>
      <w:r>
        <w:rPr>
          <w:rFonts w:hint="eastAsia" w:ascii="Times New Roman"/>
          <w:highlight w:val="none"/>
        </w:rPr>
        <w:t>层~</w:t>
      </w:r>
      <w:r>
        <w:rPr>
          <w:rFonts w:ascii="Times New Roman"/>
          <w:highlight w:val="none"/>
        </w:rPr>
        <w:t>25层，每层胶带应施加相同压力。</w:t>
      </w:r>
    </w:p>
    <w:p w14:paraId="06C7F95A">
      <w:pPr>
        <w:pStyle w:val="124"/>
        <w:ind w:firstLine="420"/>
        <w:rPr>
          <w:rFonts w:ascii="Times New Roman"/>
          <w:highlight w:val="none"/>
        </w:rPr>
      </w:pPr>
      <w:r>
        <w:rPr>
          <w:rFonts w:ascii="Times New Roman"/>
          <w:highlight w:val="none"/>
        </w:rPr>
        <w:t>一般认为前两条胶带上</w:t>
      </w:r>
      <w:r>
        <w:rPr>
          <w:rFonts w:hint="eastAsia" w:ascii="Times New Roman"/>
          <w:highlight w:val="none"/>
        </w:rPr>
        <w:t>受试物</w:t>
      </w:r>
      <w:r>
        <w:rPr>
          <w:rFonts w:ascii="Times New Roman"/>
          <w:highlight w:val="none"/>
        </w:rPr>
        <w:t>是附着在即将脱落</w:t>
      </w:r>
      <w:r>
        <w:rPr>
          <w:rFonts w:hint="eastAsia" w:ascii="Times New Roman"/>
          <w:highlight w:val="none"/>
        </w:rPr>
        <w:t>皮肤</w:t>
      </w:r>
      <w:r>
        <w:rPr>
          <w:rFonts w:ascii="Times New Roman"/>
          <w:highlight w:val="none"/>
        </w:rPr>
        <w:t>，不会被生物利用。</w:t>
      </w:r>
      <w:r>
        <w:rPr>
          <w:rFonts w:hint="eastAsia" w:ascii="Times New Roman"/>
          <w:highlight w:val="none"/>
        </w:rPr>
        <w:t>当试验时间达到</w:t>
      </w:r>
      <w:r>
        <w:rPr>
          <w:rFonts w:ascii="Times New Roman"/>
          <w:highlight w:val="none"/>
        </w:rPr>
        <w:t>24h</w:t>
      </w:r>
      <w:r>
        <w:rPr>
          <w:rFonts w:hint="eastAsia" w:ascii="Times New Roman"/>
          <w:highlight w:val="none"/>
          <w:lang w:val="en-US" w:eastAsia="zh-CN"/>
        </w:rPr>
        <w:t>及24h以上</w:t>
      </w:r>
      <w:r>
        <w:rPr>
          <w:rFonts w:hint="eastAsia" w:ascii="Times New Roman"/>
          <w:highlight w:val="none"/>
        </w:rPr>
        <w:t>，</w:t>
      </w:r>
      <w:r>
        <w:rPr>
          <w:rFonts w:hint="eastAsia" w:ascii="Times New Roman"/>
          <w:highlight w:val="none"/>
          <w:lang w:val="en-US" w:eastAsia="zh-CN"/>
        </w:rPr>
        <w:t>应</w:t>
      </w:r>
      <w:r>
        <w:rPr>
          <w:rFonts w:hint="eastAsia" w:ascii="Times New Roman"/>
          <w:highlight w:val="none"/>
        </w:rPr>
        <w:t>将</w:t>
      </w:r>
      <w:r>
        <w:rPr>
          <w:rFonts w:hint="eastAsia" w:ascii="Times New Roman"/>
          <w:highlight w:val="none"/>
          <w:lang w:val="en-US" w:eastAsia="zh-CN"/>
        </w:rPr>
        <w:t>包括角质层部分</w:t>
      </w:r>
      <w:r>
        <w:rPr>
          <w:rFonts w:hint="eastAsia" w:ascii="Times New Roman"/>
          <w:highlight w:val="none"/>
        </w:rPr>
        <w:t>所有胶带上的受试物不计入可吸收剂量当中。</w:t>
      </w:r>
    </w:p>
    <w:p w14:paraId="714B7C13">
      <w:pPr>
        <w:pStyle w:val="126"/>
        <w:spacing w:before="158" w:after="158"/>
        <w:rPr>
          <w:rFonts w:ascii="Times New Roman"/>
          <w:szCs w:val="22"/>
          <w:highlight w:val="none"/>
        </w:rPr>
      </w:pPr>
      <w:r>
        <w:rPr>
          <w:rFonts w:hint="eastAsia" w:ascii="Times New Roman"/>
          <w:szCs w:val="22"/>
          <w:highlight w:val="none"/>
        </w:rPr>
        <w:t xml:space="preserve"> </w:t>
      </w:r>
      <w:bookmarkStart w:id="69" w:name="_Toc26510"/>
      <w:r>
        <w:rPr>
          <w:rFonts w:hint="eastAsia" w:ascii="Times New Roman"/>
          <w:szCs w:val="22"/>
          <w:highlight w:val="none"/>
        </w:rPr>
        <w:t>测定方法</w:t>
      </w:r>
      <w:bookmarkEnd w:id="69"/>
    </w:p>
    <w:p w14:paraId="781AD0FF">
      <w:pPr>
        <w:pStyle w:val="127"/>
        <w:spacing w:before="158" w:after="158"/>
        <w:rPr>
          <w:rFonts w:ascii="Times New Roman"/>
          <w:szCs w:val="22"/>
          <w:highlight w:val="none"/>
        </w:rPr>
      </w:pPr>
      <w:r>
        <w:rPr>
          <w:rFonts w:hint="eastAsia" w:ascii="Times New Roman"/>
          <w:szCs w:val="22"/>
          <w:highlight w:val="none"/>
        </w:rPr>
        <w:t>定量方法</w:t>
      </w:r>
    </w:p>
    <w:p w14:paraId="214FE781">
      <w:pPr>
        <w:pStyle w:val="124"/>
        <w:ind w:firstLine="420"/>
        <w:rPr>
          <w:rFonts w:ascii="Times New Roman"/>
          <w:szCs w:val="22"/>
          <w:highlight w:val="none"/>
        </w:rPr>
      </w:pPr>
      <w:r>
        <w:rPr>
          <w:rFonts w:hint="eastAsia" w:ascii="Times New Roman"/>
          <w:szCs w:val="22"/>
          <w:highlight w:val="none"/>
        </w:rPr>
        <w:t>可使用高效液相色谱法、气相色谱法、气相质谱法、液质联用法等。</w:t>
      </w:r>
    </w:p>
    <w:p w14:paraId="2D839946">
      <w:pPr>
        <w:pStyle w:val="124"/>
        <w:ind w:firstLine="420"/>
        <w:rPr>
          <w:rFonts w:ascii="Times New Roman"/>
          <w:szCs w:val="22"/>
          <w:highlight w:val="none"/>
        </w:rPr>
      </w:pPr>
      <w:r>
        <w:rPr>
          <w:rFonts w:hint="eastAsia" w:ascii="Times New Roman"/>
          <w:szCs w:val="22"/>
          <w:highlight w:val="none"/>
        </w:rPr>
        <w:t>以高效液相色谱法为例：</w:t>
      </w:r>
    </w:p>
    <w:p w14:paraId="3B755873">
      <w:pPr>
        <w:pStyle w:val="124"/>
        <w:numPr>
          <w:ilvl w:val="0"/>
          <w:numId w:val="14"/>
        </w:numPr>
        <w:ind w:firstLine="420"/>
        <w:rPr>
          <w:rFonts w:ascii="Times New Roman"/>
          <w:highlight w:val="none"/>
        </w:rPr>
      </w:pPr>
      <w:r>
        <w:rPr>
          <w:rFonts w:ascii="Times New Roman"/>
          <w:highlight w:val="none"/>
        </w:rPr>
        <w:t>标准品溶液的配置：使用容量瓶称取适量标准品，定容后摇匀并依次稀释得到5个及以上浓度梯度的标准工作溶液。</w:t>
      </w:r>
    </w:p>
    <w:p w14:paraId="6CB0C2F0">
      <w:pPr>
        <w:pStyle w:val="124"/>
        <w:numPr>
          <w:ilvl w:val="0"/>
          <w:numId w:val="14"/>
        </w:numPr>
        <w:ind w:firstLine="420"/>
        <w:rPr>
          <w:rFonts w:ascii="Times New Roman"/>
          <w:highlight w:val="none"/>
        </w:rPr>
      </w:pPr>
      <w:r>
        <w:rPr>
          <w:rFonts w:ascii="Times New Roman"/>
          <w:highlight w:val="none"/>
        </w:rPr>
        <w:t>仪器条件：依据标准物质的检测条件来确定，包括流动相、色谱柱、洗脱程序等。</w:t>
      </w:r>
    </w:p>
    <w:p w14:paraId="6B322A6A">
      <w:pPr>
        <w:pStyle w:val="124"/>
        <w:numPr>
          <w:ilvl w:val="0"/>
          <w:numId w:val="14"/>
        </w:numPr>
        <w:ind w:firstLine="420"/>
        <w:rPr>
          <w:rFonts w:ascii="Times New Roman"/>
          <w:highlight w:val="none"/>
        </w:rPr>
      </w:pPr>
      <w:r>
        <w:rPr>
          <w:rFonts w:ascii="Times New Roman"/>
          <w:highlight w:val="none"/>
        </w:rPr>
        <w:t>测试方法：分别将标准工作溶液注入高效液相色谱仪，在色谱条件下测定标准溶液，以浓度为横坐标，峰面积为纵坐标，绘制标准曲线。将处理好的待测试样溶液注入高效液相色谱仪，在色谱条件下进行测定，根据保留时间和紫外吸收光谱图定性，</w:t>
      </w:r>
      <w:r>
        <w:rPr>
          <w:rFonts w:hint="eastAsia" w:ascii="Times New Roman"/>
          <w:highlight w:val="none"/>
          <w:lang w:eastAsia="zh-CN"/>
        </w:rPr>
        <w:t>受试物</w:t>
      </w:r>
      <w:r>
        <w:rPr>
          <w:rFonts w:ascii="Times New Roman"/>
          <w:highlight w:val="none"/>
        </w:rPr>
        <w:t>峰面积代入标准曲线计算</w:t>
      </w:r>
      <w:r>
        <w:rPr>
          <w:rFonts w:hint="eastAsia" w:ascii="Times New Roman"/>
          <w:highlight w:val="none"/>
          <w:lang w:eastAsia="zh-CN"/>
        </w:rPr>
        <w:t>受试物</w:t>
      </w:r>
      <w:r>
        <w:rPr>
          <w:rFonts w:ascii="Times New Roman"/>
          <w:highlight w:val="none"/>
        </w:rPr>
        <w:t>浓度C，随后按照公式（1）计算累积渗透量</w:t>
      </w:r>
      <w:r>
        <w:rPr>
          <w:rFonts w:ascii="Times New Roman"/>
          <w:i/>
          <w:iCs/>
          <w:highlight w:val="none"/>
        </w:rPr>
        <w:t>Q</w:t>
      </w:r>
      <w:r>
        <w:rPr>
          <w:rFonts w:ascii="Times New Roman"/>
          <w:highlight w:val="none"/>
          <w:vertAlign w:val="subscript"/>
        </w:rPr>
        <w:t>n</w:t>
      </w:r>
      <w:r>
        <w:rPr>
          <w:rFonts w:ascii="Times New Roman"/>
          <w:highlight w:val="none"/>
        </w:rPr>
        <w:t>，按照公式（2）计算皮内滞留量</w:t>
      </w:r>
      <w:r>
        <w:rPr>
          <w:rFonts w:ascii="Times New Roman"/>
          <w:i/>
          <w:iCs/>
          <w:highlight w:val="none"/>
        </w:rPr>
        <w:t>Q</w:t>
      </w:r>
      <w:r>
        <w:rPr>
          <w:rFonts w:ascii="Times New Roman"/>
          <w:highlight w:val="none"/>
          <w:vertAlign w:val="subscript"/>
        </w:rPr>
        <w:t>皮</w:t>
      </w:r>
      <w:r>
        <w:rPr>
          <w:rFonts w:ascii="Times New Roman"/>
          <w:highlight w:val="none"/>
        </w:rPr>
        <w:t>，按照公式（3）计算未吸收的量</w:t>
      </w:r>
      <w:r>
        <w:rPr>
          <w:rFonts w:ascii="Times New Roman"/>
          <w:i/>
          <w:iCs/>
          <w:highlight w:val="none"/>
        </w:rPr>
        <w:t>Q</w:t>
      </w:r>
      <w:r>
        <w:rPr>
          <w:rFonts w:ascii="Times New Roman"/>
          <w:highlight w:val="none"/>
          <w:vertAlign w:val="subscript"/>
        </w:rPr>
        <w:t>未</w:t>
      </w:r>
      <w:r>
        <w:rPr>
          <w:rFonts w:ascii="Times New Roman"/>
          <w:highlight w:val="none"/>
        </w:rPr>
        <w:t>，按照公式（4）计算渗透速率</w:t>
      </w:r>
      <w:r>
        <w:rPr>
          <w:rFonts w:ascii="Times New Roman"/>
          <w:i/>
          <w:iCs/>
          <w:highlight w:val="none"/>
        </w:rPr>
        <w:t>K</w:t>
      </w:r>
      <w:r>
        <w:rPr>
          <w:rFonts w:ascii="Times New Roman"/>
          <w:highlight w:val="none"/>
          <w:vertAlign w:val="subscript"/>
        </w:rPr>
        <w:t>p</w:t>
      </w:r>
      <w:r>
        <w:rPr>
          <w:rFonts w:ascii="Times New Roman"/>
          <w:highlight w:val="none"/>
        </w:rPr>
        <w:t>，按照公式（</w:t>
      </w:r>
      <w:r>
        <w:rPr>
          <w:rFonts w:hint="eastAsia" w:ascii="Times New Roman"/>
          <w:highlight w:val="none"/>
        </w:rPr>
        <w:t>5</w:t>
      </w:r>
      <w:r>
        <w:rPr>
          <w:rFonts w:ascii="Times New Roman"/>
          <w:highlight w:val="none"/>
        </w:rPr>
        <w:t>）计算</w:t>
      </w:r>
      <w:r>
        <w:rPr>
          <w:rFonts w:hint="eastAsia" w:ascii="Times New Roman"/>
          <w:highlight w:val="none"/>
        </w:rPr>
        <w:t>渗透通量</w:t>
      </w:r>
      <w:r>
        <w:rPr>
          <w:rFonts w:hint="eastAsia" w:ascii="Times New Roman"/>
          <w:i/>
          <w:iCs/>
          <w:highlight w:val="none"/>
        </w:rPr>
        <w:t>J</w:t>
      </w:r>
      <w:r>
        <w:rPr>
          <w:rFonts w:hint="eastAsia" w:ascii="Times New Roman"/>
          <w:highlight w:val="none"/>
        </w:rPr>
        <w:t>，</w:t>
      </w:r>
      <w:r>
        <w:rPr>
          <w:rFonts w:ascii="Times New Roman"/>
          <w:highlight w:val="none"/>
        </w:rPr>
        <w:t>按照公式（</w:t>
      </w:r>
      <w:r>
        <w:rPr>
          <w:rFonts w:hint="eastAsia" w:ascii="Times New Roman"/>
          <w:highlight w:val="none"/>
        </w:rPr>
        <w:t>6</w:t>
      </w:r>
      <w:r>
        <w:rPr>
          <w:rFonts w:ascii="Times New Roman"/>
          <w:highlight w:val="none"/>
        </w:rPr>
        <w:t>）计算回收率</w:t>
      </w:r>
      <w:r>
        <w:rPr>
          <w:rFonts w:ascii="Times New Roman"/>
          <w:i/>
          <w:iCs/>
          <w:highlight w:val="none"/>
        </w:rPr>
        <w:t>W</w:t>
      </w:r>
      <w:r>
        <w:rPr>
          <w:rFonts w:ascii="Times New Roman"/>
          <w:highlight w:val="none"/>
        </w:rPr>
        <w:t>。具体计算公式详见8.1~8.</w:t>
      </w:r>
      <w:r>
        <w:rPr>
          <w:rFonts w:hint="eastAsia" w:ascii="Times New Roman"/>
          <w:highlight w:val="none"/>
        </w:rPr>
        <w:t>6</w:t>
      </w:r>
      <w:r>
        <w:rPr>
          <w:rFonts w:ascii="Times New Roman"/>
          <w:highlight w:val="none"/>
        </w:rPr>
        <w:t>。</w:t>
      </w:r>
    </w:p>
    <w:p w14:paraId="13BDA14A">
      <w:pPr>
        <w:pStyle w:val="127"/>
        <w:spacing w:before="158" w:after="158"/>
        <w:rPr>
          <w:rFonts w:ascii="Times New Roman"/>
          <w:szCs w:val="22"/>
          <w:highlight w:val="none"/>
        </w:rPr>
      </w:pPr>
      <w:r>
        <w:rPr>
          <w:rFonts w:hint="eastAsia" w:ascii="Times New Roman"/>
          <w:szCs w:val="22"/>
          <w:highlight w:val="none"/>
        </w:rPr>
        <w:t>定性或半定量方法</w:t>
      </w:r>
    </w:p>
    <w:p w14:paraId="0CCBAD0D">
      <w:pPr>
        <w:pStyle w:val="124"/>
        <w:ind w:firstLine="420"/>
        <w:rPr>
          <w:rFonts w:ascii="Times New Roman"/>
          <w:szCs w:val="22"/>
          <w:highlight w:val="none"/>
        </w:rPr>
      </w:pPr>
      <w:r>
        <w:rPr>
          <w:rFonts w:hint="eastAsia" w:ascii="Times New Roman"/>
          <w:szCs w:val="22"/>
          <w:highlight w:val="none"/>
        </w:rPr>
        <w:t>可使用共聚焦显微镜法、荧光显微镜法等。</w:t>
      </w:r>
    </w:p>
    <w:p w14:paraId="2A6E2848">
      <w:pPr>
        <w:pStyle w:val="124"/>
        <w:ind w:firstLine="420"/>
        <w:rPr>
          <w:rFonts w:ascii="Times New Roman"/>
          <w:highlight w:val="none"/>
        </w:rPr>
      </w:pPr>
      <w:r>
        <w:rPr>
          <w:rFonts w:hint="eastAsia" w:ascii="Times New Roman"/>
          <w:szCs w:val="22"/>
          <w:highlight w:val="none"/>
        </w:rPr>
        <w:t>以荧光显微镜法为例：</w:t>
      </w:r>
      <w:r>
        <w:rPr>
          <w:rFonts w:hint="eastAsia" w:ascii="Times New Roman"/>
          <w:highlight w:val="none"/>
        </w:rPr>
        <w:t>在皮肤组织中加入冷冻液，放入冷冻切片机内冷冻包埋，随后使用冷冻切片机切片，皮肤组织的厚度为</w:t>
      </w:r>
      <w:r>
        <w:rPr>
          <w:rFonts w:ascii="Times New Roman"/>
          <w:highlight w:val="none"/>
        </w:rPr>
        <w:t>50</w:t>
      </w:r>
      <w:r>
        <w:rPr>
          <w:rFonts w:hint="eastAsia" w:ascii="Times New Roman"/>
          <w:highlight w:val="none"/>
        </w:rPr>
        <w:t xml:space="preserve"> </w:t>
      </w:r>
      <w:r>
        <w:rPr>
          <w:rFonts w:ascii="Times New Roman"/>
          <w:highlight w:val="none"/>
        </w:rPr>
        <w:t>μm~100 μm</w:t>
      </w:r>
      <w:r>
        <w:rPr>
          <w:rFonts w:hint="eastAsia" w:ascii="Times New Roman"/>
          <w:highlight w:val="none"/>
        </w:rPr>
        <w:t>，选取皮肤中部的皮肤进行切片，粘附于载玻片上即可。将上述得到的皮肤组织切片放置于荧光显微镜中，调试仪器参数后，开始进行拍照。</w:t>
      </w:r>
    </w:p>
    <w:p w14:paraId="50B38B4A">
      <w:pPr>
        <w:pStyle w:val="125"/>
        <w:spacing w:before="317" w:after="317"/>
        <w:rPr>
          <w:rFonts w:ascii="Times New Roman"/>
          <w:szCs w:val="22"/>
          <w:highlight w:val="none"/>
        </w:rPr>
      </w:pPr>
      <w:r>
        <w:rPr>
          <w:rFonts w:hint="eastAsia" w:ascii="Times New Roman"/>
          <w:szCs w:val="22"/>
          <w:highlight w:val="none"/>
        </w:rPr>
        <w:t xml:space="preserve"> </w:t>
      </w:r>
      <w:bookmarkStart w:id="70" w:name="_Toc21696"/>
      <w:bookmarkStart w:id="71" w:name="_Toc19367"/>
      <w:bookmarkStart w:id="72" w:name="_Toc10401"/>
      <w:r>
        <w:rPr>
          <w:rFonts w:hint="eastAsia" w:ascii="Times New Roman"/>
          <w:szCs w:val="22"/>
          <w:highlight w:val="none"/>
        </w:rPr>
        <w:t>试验结果</w:t>
      </w:r>
      <w:bookmarkEnd w:id="70"/>
      <w:bookmarkEnd w:id="71"/>
      <w:bookmarkEnd w:id="72"/>
    </w:p>
    <w:p w14:paraId="7C50808B">
      <w:pPr>
        <w:pStyle w:val="124"/>
        <w:ind w:firstLine="420"/>
        <w:rPr>
          <w:rFonts w:ascii="Times New Roman"/>
          <w:highlight w:val="none"/>
        </w:rPr>
      </w:pPr>
      <w:r>
        <w:rPr>
          <w:rFonts w:ascii="Times New Roman"/>
          <w:highlight w:val="none"/>
        </w:rPr>
        <w:t>应对</w:t>
      </w:r>
      <w:r>
        <w:rPr>
          <w:rFonts w:hint="eastAsia" w:ascii="Times New Roman"/>
          <w:highlight w:val="none"/>
        </w:rPr>
        <w:t>试验系统各个部分的受试物进行测定</w:t>
      </w:r>
      <w:r>
        <w:rPr>
          <w:rFonts w:ascii="Times New Roman"/>
          <w:highlight w:val="none"/>
        </w:rPr>
        <w:t>，包括给样池、</w:t>
      </w:r>
      <w:r>
        <w:rPr>
          <w:rFonts w:hint="eastAsia" w:ascii="Times New Roman"/>
          <w:highlight w:val="none"/>
        </w:rPr>
        <w:t>皮肤</w:t>
      </w:r>
      <w:r>
        <w:rPr>
          <w:rFonts w:ascii="Times New Roman"/>
          <w:highlight w:val="none"/>
        </w:rPr>
        <w:t>表面清洗液、皮肤（胶带、表皮、真皮等）、接收液等。所有测得</w:t>
      </w:r>
      <w:r>
        <w:rPr>
          <w:rFonts w:hint="eastAsia" w:ascii="Times New Roman"/>
          <w:highlight w:val="none"/>
        </w:rPr>
        <w:t>受试物</w:t>
      </w:r>
      <w:r>
        <w:rPr>
          <w:rFonts w:ascii="Times New Roman"/>
          <w:highlight w:val="none"/>
        </w:rPr>
        <w:t>的回收率应达到100%</w:t>
      </w:r>
      <w:r>
        <w:rPr>
          <w:rFonts w:hint="eastAsia" w:ascii="Times New Roman"/>
          <w:highlight w:val="none"/>
          <w:lang w:val="en-US" w:eastAsia="zh-CN"/>
        </w:rPr>
        <w:t xml:space="preserve"> </w:t>
      </w:r>
      <w:r>
        <w:rPr>
          <w:rFonts w:ascii="Times New Roman"/>
          <w:highlight w:val="none"/>
        </w:rPr>
        <w:t>±15%</w:t>
      </w:r>
      <w:r>
        <w:rPr>
          <w:rFonts w:hint="eastAsia" w:ascii="Times New Roman"/>
          <w:highlight w:val="none"/>
        </w:rPr>
        <w:t>，对于过大的回收率偏差应给出合理的解释。</w:t>
      </w:r>
    </w:p>
    <w:p w14:paraId="29E845C4">
      <w:pPr>
        <w:pStyle w:val="125"/>
        <w:spacing w:before="317" w:after="317"/>
        <w:rPr>
          <w:rFonts w:ascii="Times New Roman"/>
          <w:szCs w:val="22"/>
          <w:highlight w:val="none"/>
        </w:rPr>
      </w:pPr>
      <w:bookmarkStart w:id="73" w:name="_Toc30463"/>
      <w:bookmarkStart w:id="74" w:name="_Toc28726"/>
      <w:bookmarkStart w:id="75" w:name="_Toc29099"/>
      <w:r>
        <w:rPr>
          <w:rFonts w:hint="eastAsia" w:ascii="Times New Roman"/>
          <w:szCs w:val="22"/>
          <w:highlight w:val="none"/>
        </w:rPr>
        <w:t>实验室质量控制</w:t>
      </w:r>
      <w:bookmarkEnd w:id="73"/>
      <w:bookmarkEnd w:id="74"/>
      <w:bookmarkEnd w:id="75"/>
    </w:p>
    <w:p w14:paraId="74240B9C">
      <w:pPr>
        <w:pStyle w:val="124"/>
        <w:ind w:firstLine="420"/>
        <w:rPr>
          <w:rFonts w:ascii="Times New Roman"/>
          <w:highlight w:val="none"/>
        </w:rPr>
      </w:pPr>
      <w:r>
        <w:rPr>
          <w:rFonts w:hint="eastAsia"/>
          <w:highlight w:val="none"/>
        </w:rPr>
        <w:t>要定期评估实验室的技术能力以及试验方法的可靠性，每年至少两次在实验室对咖啡因、苯甲酸等参比化合物进行经皮吸收</w:t>
      </w:r>
      <w:r>
        <w:rPr>
          <w:rFonts w:hint="eastAsia"/>
          <w:highlight w:val="none"/>
          <w:lang w:val="en-US" w:eastAsia="zh-CN"/>
        </w:rPr>
        <w:t>试验</w:t>
      </w:r>
      <w:r>
        <w:rPr>
          <w:rFonts w:hint="eastAsia"/>
          <w:highlight w:val="none"/>
        </w:rPr>
        <w:t>，相关试验结果要呈现在每一份报告中。经皮吸收结果要以均值±标准差来表示。</w:t>
      </w:r>
    </w:p>
    <w:p w14:paraId="2FD62F2C">
      <w:pPr>
        <w:pStyle w:val="125"/>
        <w:spacing w:before="317" w:after="317"/>
        <w:rPr>
          <w:rFonts w:ascii="Times New Roman"/>
          <w:szCs w:val="22"/>
          <w:highlight w:val="none"/>
        </w:rPr>
      </w:pPr>
      <w:bookmarkStart w:id="76" w:name="_Toc21398"/>
      <w:bookmarkStart w:id="77" w:name="_Toc159516879"/>
      <w:bookmarkStart w:id="78" w:name="_Toc30365"/>
      <w:bookmarkStart w:id="79" w:name="_Toc32635"/>
      <w:r>
        <w:rPr>
          <w:rFonts w:hint="eastAsia" w:ascii="Times New Roman"/>
          <w:szCs w:val="22"/>
          <w:highlight w:val="none"/>
        </w:rPr>
        <w:t>计算方法</w:t>
      </w:r>
      <w:bookmarkEnd w:id="76"/>
      <w:bookmarkEnd w:id="77"/>
      <w:bookmarkEnd w:id="78"/>
      <w:bookmarkEnd w:id="79"/>
    </w:p>
    <w:p w14:paraId="63E56210">
      <w:pPr>
        <w:pStyle w:val="126"/>
        <w:spacing w:before="158" w:after="158"/>
        <w:rPr>
          <w:rFonts w:ascii="Times New Roman"/>
          <w:szCs w:val="22"/>
          <w:highlight w:val="none"/>
        </w:rPr>
      </w:pPr>
      <w:bookmarkStart w:id="80" w:name="_Toc20736"/>
      <w:bookmarkStart w:id="81" w:name="_Toc159516880"/>
      <w:bookmarkStart w:id="82" w:name="_Toc138831857"/>
      <w:bookmarkStart w:id="83" w:name="_Toc142589581"/>
      <w:bookmarkStart w:id="84" w:name="_Toc21316"/>
      <w:bookmarkStart w:id="85" w:name="_Toc138847368"/>
      <w:bookmarkStart w:id="86" w:name="_Toc149572201"/>
      <w:bookmarkStart w:id="87" w:name="_Toc143186280"/>
      <w:bookmarkStart w:id="88" w:name="_Toc19539"/>
      <w:bookmarkStart w:id="89" w:name="_Toc149571420"/>
      <w:bookmarkStart w:id="90" w:name="_Toc7574"/>
      <w:bookmarkStart w:id="91" w:name="_Toc156817228"/>
      <w:r>
        <w:rPr>
          <w:rFonts w:hint="eastAsia" w:ascii="Times New Roman"/>
          <w:szCs w:val="22"/>
          <w:highlight w:val="none"/>
        </w:rPr>
        <w:t>累积渗透量</w:t>
      </w:r>
      <w:bookmarkEnd w:id="80"/>
      <w:bookmarkEnd w:id="81"/>
      <w:bookmarkEnd w:id="82"/>
      <w:bookmarkEnd w:id="83"/>
      <w:bookmarkEnd w:id="84"/>
      <w:bookmarkEnd w:id="85"/>
      <w:bookmarkEnd w:id="86"/>
      <w:bookmarkEnd w:id="87"/>
      <w:bookmarkEnd w:id="88"/>
      <w:bookmarkEnd w:id="89"/>
      <w:bookmarkEnd w:id="90"/>
      <w:bookmarkEnd w:id="91"/>
      <w:r>
        <w:rPr>
          <w:rFonts w:hint="eastAsia" w:ascii="Times New Roman"/>
          <w:szCs w:val="22"/>
          <w:highlight w:val="none"/>
        </w:rPr>
        <w:t xml:space="preserve">     </w:t>
      </w:r>
    </w:p>
    <w:p w14:paraId="108999F9">
      <w:pPr>
        <w:pStyle w:val="124"/>
        <w:ind w:firstLine="420"/>
        <w:rPr>
          <w:rFonts w:ascii="Times New Roman"/>
          <w:highlight w:val="none"/>
        </w:rPr>
      </w:pPr>
      <w:r>
        <w:rPr>
          <w:rFonts w:hint="eastAsia" w:ascii="Times New Roman"/>
          <w:highlight w:val="none"/>
        </w:rPr>
        <w:t>按式（1）计算累积渗透量</w:t>
      </w:r>
      <w:r>
        <w:rPr>
          <w:rFonts w:ascii="Times New Roman"/>
          <w:i/>
          <w:iCs/>
          <w:highlight w:val="none"/>
        </w:rPr>
        <w:t>Q</w:t>
      </w:r>
      <w:r>
        <w:rPr>
          <w:rFonts w:ascii="Times New Roman"/>
          <w:highlight w:val="none"/>
          <w:vertAlign w:val="subscript"/>
        </w:rPr>
        <w:t>n</w:t>
      </w:r>
      <w:r>
        <w:rPr>
          <w:rFonts w:hint="eastAsia" w:ascii="Times New Roman"/>
          <w:highlight w:val="none"/>
        </w:rPr>
        <w:t>，以</w:t>
      </w:r>
      <w:r>
        <w:rPr>
          <w:rFonts w:ascii="Times New Roman"/>
          <w:highlight w:val="none"/>
        </w:rPr>
        <w:t>μg</w:t>
      </w:r>
      <w:r>
        <w:rPr>
          <w:rFonts w:hint="eastAsia" w:ascii="Times New Roman"/>
          <w:highlight w:val="none"/>
        </w:rPr>
        <w:t>表示</w:t>
      </w:r>
    </w:p>
    <w:p w14:paraId="3710A620">
      <w:pPr>
        <w:pStyle w:val="124"/>
        <w:ind w:firstLine="420"/>
        <w:jc w:val="right"/>
        <w:rPr>
          <w:highlight w:val="none"/>
        </w:rPr>
      </w:pPr>
      <w:r>
        <w:rPr>
          <w:highlight w:val="none"/>
        </w:rPr>
        <w:object>
          <v:shape id="_x0000_i1025" o:spt="75" type="#_x0000_t75" style="height:19.9pt;width:214.9pt;" o:ole="t" filled="f" o:preferrelative="t" stroked="f" coordsize="21600,21600">
            <v:path/>
            <v:fill on="f" focussize="0,0"/>
            <v:stroke on="f" joinstyle="miter"/>
            <v:imagedata r:id="rId18" o:title=""/>
            <o:lock v:ext="edit" aspectratio="t"/>
            <w10:wrap type="none"/>
            <w10:anchorlock/>
          </v:shape>
          <o:OLEObject Type="Embed" ProgID="Unknown" ShapeID="_x0000_i1025" DrawAspect="Content" ObjectID="_1468075725" r:id="rId17">
            <o:LockedField>false</o:LockedField>
          </o:OLEObject>
        </w:object>
      </w:r>
      <w:r>
        <w:rPr>
          <w:position w:val="-10"/>
          <w:highlight w:val="none"/>
        </w:rPr>
        <w:object>
          <v:shape id="_x0000_i1026" o:spt="75" type="#_x0000_t75" style="height:17pt;width:9pt;" o:ole="t" filled="f" o:preferrelative="t" stroked="f" coordsize="21600,21600">
            <v:path/>
            <v:fill on="f" focussize="0,0"/>
            <v:stroke on="f" joinstyle="miter"/>
            <v:imagedata r:id="rId20" o:title=""/>
            <o:lock v:ext="edit" aspectratio="t"/>
            <w10:wrap type="none"/>
            <w10:anchorlock/>
          </v:shape>
          <o:OLEObject Type="Embed" ProgID="Equation.KSEE3" ShapeID="_x0000_i1026" DrawAspect="Content" ObjectID="_1468075726" r:id="rId19">
            <o:LockedField>false</o:LockedField>
          </o:OLEObject>
        </w:object>
      </w:r>
      <w:r>
        <w:rPr>
          <w:highlight w:val="none"/>
        </w:rPr>
        <w:t xml:space="preserve"> </w:t>
      </w:r>
      <w:r>
        <w:rPr>
          <w:rFonts w:hint="eastAsia"/>
          <w:highlight w:val="none"/>
        </w:rPr>
        <w:t>…………………（1）</w:t>
      </w:r>
    </w:p>
    <w:p w14:paraId="5A933F14">
      <w:pPr>
        <w:pStyle w:val="124"/>
        <w:ind w:firstLine="420"/>
        <w:rPr>
          <w:highlight w:val="none"/>
        </w:rPr>
      </w:pPr>
      <w:r>
        <w:rPr>
          <w:rFonts w:hint="eastAsia"/>
          <w:highlight w:val="none"/>
        </w:rPr>
        <w:t>式中：</w:t>
      </w:r>
    </w:p>
    <w:p w14:paraId="248012C0">
      <w:pPr>
        <w:pStyle w:val="124"/>
        <w:ind w:firstLine="420"/>
        <w:rPr>
          <w:rFonts w:ascii="Times New Roman"/>
          <w:highlight w:val="none"/>
        </w:rPr>
      </w:pPr>
      <w:r>
        <w:rPr>
          <w:rFonts w:hint="eastAsia" w:ascii="Times New Roman"/>
          <w:i/>
          <w:iCs/>
          <w:highlight w:val="none"/>
        </w:rPr>
        <w:t>Q</w:t>
      </w:r>
      <w:r>
        <w:rPr>
          <w:rFonts w:ascii="Times New Roman"/>
          <w:highlight w:val="none"/>
          <w:vertAlign w:val="subscript"/>
        </w:rPr>
        <w:t>n</w:t>
      </w:r>
      <w:r>
        <w:rPr>
          <w:rFonts w:hint="eastAsia" w:ascii="Times New Roman"/>
          <w:highlight w:val="none"/>
        </w:rPr>
        <w:t>——</w:t>
      </w:r>
      <w:r>
        <w:rPr>
          <w:rFonts w:ascii="Times New Roman"/>
          <w:highlight w:val="none"/>
        </w:rPr>
        <w:t>第n次取样时的累积渗透量</w:t>
      </w:r>
      <w:r>
        <w:rPr>
          <w:rFonts w:hint="eastAsia" w:ascii="Times New Roman"/>
          <w:highlight w:val="none"/>
        </w:rPr>
        <w:t>，单位为微克</w:t>
      </w:r>
      <w:r>
        <w:rPr>
          <w:rFonts w:ascii="Times New Roman"/>
          <w:highlight w:val="none"/>
        </w:rPr>
        <w:t>（μg）</w:t>
      </w:r>
      <w:r>
        <w:rPr>
          <w:rFonts w:hint="eastAsia" w:ascii="Times New Roman"/>
          <w:highlight w:val="none"/>
        </w:rPr>
        <w:t>；</w:t>
      </w:r>
    </w:p>
    <w:p w14:paraId="0DCD0A2E">
      <w:pPr>
        <w:pStyle w:val="124"/>
        <w:ind w:firstLine="420"/>
        <w:rPr>
          <w:rFonts w:ascii="Times New Roman"/>
          <w:highlight w:val="none"/>
        </w:rPr>
      </w:pPr>
      <w:r>
        <w:rPr>
          <w:rFonts w:hint="eastAsia" w:ascii="Times New Roman"/>
          <w:i/>
          <w:iCs/>
          <w:highlight w:val="none"/>
        </w:rPr>
        <w:t>C</w:t>
      </w:r>
      <w:r>
        <w:rPr>
          <w:rFonts w:ascii="Times New Roman"/>
          <w:highlight w:val="none"/>
          <w:vertAlign w:val="subscript"/>
        </w:rPr>
        <w:t>n</w:t>
      </w:r>
      <w:r>
        <w:rPr>
          <w:rFonts w:hint="eastAsia" w:ascii="Times New Roman"/>
          <w:highlight w:val="none"/>
        </w:rPr>
        <w:t>——</w:t>
      </w:r>
      <w:r>
        <w:rPr>
          <w:rFonts w:ascii="Times New Roman"/>
          <w:highlight w:val="none"/>
        </w:rPr>
        <w:t>第</w:t>
      </w:r>
      <w:r>
        <w:rPr>
          <w:rFonts w:hint="eastAsia" w:ascii="Times New Roman"/>
          <w:highlight w:val="none"/>
        </w:rPr>
        <w:t>n次取样时接收液中受试物的</w:t>
      </w:r>
      <w:r>
        <w:rPr>
          <w:rFonts w:ascii="Times New Roman"/>
          <w:highlight w:val="none"/>
        </w:rPr>
        <w:t>浓度</w:t>
      </w:r>
      <w:r>
        <w:rPr>
          <w:rFonts w:hint="eastAsia" w:ascii="Times New Roman"/>
          <w:highlight w:val="none"/>
        </w:rPr>
        <w:t>，单位为微克每毫升</w:t>
      </w:r>
      <w:r>
        <w:rPr>
          <w:rFonts w:ascii="Times New Roman"/>
          <w:highlight w:val="none"/>
        </w:rPr>
        <w:t>（μg/mL）</w:t>
      </w:r>
      <w:r>
        <w:rPr>
          <w:rFonts w:hint="eastAsia" w:ascii="Times New Roman"/>
          <w:highlight w:val="none"/>
        </w:rPr>
        <w:t>；</w:t>
      </w:r>
    </w:p>
    <w:p w14:paraId="3E3663E8">
      <w:pPr>
        <w:pStyle w:val="124"/>
        <w:ind w:firstLine="420"/>
        <w:rPr>
          <w:rFonts w:ascii="Times New Roman"/>
          <w:highlight w:val="none"/>
        </w:rPr>
      </w:pPr>
      <w:r>
        <w:rPr>
          <w:rFonts w:hint="eastAsia" w:ascii="Times New Roman"/>
          <w:i/>
          <w:iCs/>
          <w:highlight w:val="none"/>
        </w:rPr>
        <w:t>C</w:t>
      </w:r>
      <w:r>
        <w:rPr>
          <w:rFonts w:ascii="Times New Roman"/>
          <w:highlight w:val="none"/>
          <w:vertAlign w:val="subscript"/>
        </w:rPr>
        <w:t>i</w:t>
      </w:r>
      <w:r>
        <w:rPr>
          <w:rFonts w:hint="eastAsia" w:ascii="Times New Roman"/>
          <w:highlight w:val="none"/>
        </w:rPr>
        <w:t>——</w:t>
      </w:r>
      <w:r>
        <w:rPr>
          <w:rFonts w:ascii="Times New Roman"/>
          <w:highlight w:val="none"/>
        </w:rPr>
        <w:t>第1次</w:t>
      </w:r>
      <w:r>
        <w:rPr>
          <w:rFonts w:hint="eastAsia" w:ascii="Times New Roman"/>
          <w:highlight w:val="none"/>
        </w:rPr>
        <w:t>至第n-1次取样时接收液中受试物的</w:t>
      </w:r>
      <w:r>
        <w:rPr>
          <w:rFonts w:ascii="Times New Roman"/>
          <w:highlight w:val="none"/>
        </w:rPr>
        <w:t>浓度</w:t>
      </w:r>
      <w:r>
        <w:rPr>
          <w:rFonts w:hint="eastAsia" w:ascii="Times New Roman"/>
          <w:highlight w:val="none"/>
        </w:rPr>
        <w:t>，单位为微克每毫升</w:t>
      </w:r>
      <w:r>
        <w:rPr>
          <w:rFonts w:ascii="Times New Roman"/>
          <w:highlight w:val="none"/>
        </w:rPr>
        <w:t>（μg/mL）</w:t>
      </w:r>
      <w:r>
        <w:rPr>
          <w:rFonts w:hint="eastAsia" w:ascii="Times New Roman"/>
          <w:highlight w:val="none"/>
        </w:rPr>
        <w:t>；</w:t>
      </w:r>
    </w:p>
    <w:p w14:paraId="03E6A37F">
      <w:pPr>
        <w:pStyle w:val="124"/>
        <w:ind w:firstLine="420"/>
        <w:rPr>
          <w:rFonts w:ascii="Times New Roman"/>
          <w:highlight w:val="none"/>
        </w:rPr>
      </w:pPr>
      <w:r>
        <w:rPr>
          <w:rFonts w:hint="eastAsia" w:ascii="Times New Roman"/>
          <w:i/>
          <w:iCs/>
          <w:highlight w:val="none"/>
        </w:rPr>
        <w:t>V</w:t>
      </w:r>
      <w:r>
        <w:rPr>
          <w:rFonts w:hint="eastAsia" w:ascii="Times New Roman"/>
          <w:highlight w:val="none"/>
          <w:vertAlign w:val="subscript"/>
        </w:rPr>
        <w:t>0</w:t>
      </w:r>
      <w:r>
        <w:rPr>
          <w:rFonts w:hint="eastAsia" w:ascii="Times New Roman"/>
          <w:highlight w:val="none"/>
        </w:rPr>
        <w:t>——每次</w:t>
      </w:r>
      <w:r>
        <w:rPr>
          <w:rFonts w:ascii="Times New Roman"/>
          <w:highlight w:val="none"/>
        </w:rPr>
        <w:t>取样体积</w:t>
      </w:r>
      <w:r>
        <w:rPr>
          <w:rFonts w:hint="eastAsia" w:ascii="Times New Roman"/>
          <w:highlight w:val="none"/>
        </w:rPr>
        <w:t>，单位为毫升</w:t>
      </w:r>
      <w:r>
        <w:rPr>
          <w:rFonts w:ascii="Times New Roman"/>
          <w:highlight w:val="none"/>
        </w:rPr>
        <w:t>（mL）</w:t>
      </w:r>
      <w:r>
        <w:rPr>
          <w:rFonts w:hint="eastAsia" w:ascii="Times New Roman"/>
          <w:highlight w:val="none"/>
        </w:rPr>
        <w:t>；</w:t>
      </w:r>
    </w:p>
    <w:p w14:paraId="3FF18D35">
      <w:pPr>
        <w:pStyle w:val="124"/>
        <w:ind w:firstLine="420"/>
        <w:rPr>
          <w:rFonts w:ascii="Times New Roman"/>
          <w:highlight w:val="none"/>
        </w:rPr>
      </w:pPr>
      <w:r>
        <w:rPr>
          <w:rFonts w:hint="eastAsia" w:ascii="Times New Roman"/>
          <w:i/>
          <w:iCs/>
          <w:highlight w:val="none"/>
        </w:rPr>
        <w:t>V</w:t>
      </w:r>
      <w:r>
        <w:rPr>
          <w:rFonts w:hint="eastAsia" w:ascii="Times New Roman"/>
          <w:highlight w:val="none"/>
        </w:rPr>
        <w:t>——</w:t>
      </w:r>
      <w:r>
        <w:rPr>
          <w:rFonts w:ascii="Times New Roman"/>
          <w:highlight w:val="none"/>
        </w:rPr>
        <w:t>接受池</w:t>
      </w:r>
      <w:r>
        <w:rPr>
          <w:rFonts w:hint="eastAsia" w:ascii="Times New Roman"/>
          <w:highlight w:val="none"/>
        </w:rPr>
        <w:t>中接收液的</w:t>
      </w:r>
      <w:r>
        <w:rPr>
          <w:rFonts w:ascii="Times New Roman"/>
          <w:highlight w:val="none"/>
        </w:rPr>
        <w:t>总体积</w:t>
      </w:r>
      <w:r>
        <w:rPr>
          <w:rFonts w:hint="eastAsia" w:ascii="Times New Roman"/>
          <w:highlight w:val="none"/>
        </w:rPr>
        <w:t>，单位为毫升</w:t>
      </w:r>
      <w:r>
        <w:rPr>
          <w:rFonts w:ascii="Times New Roman"/>
          <w:highlight w:val="none"/>
        </w:rPr>
        <w:t>（mL）</w:t>
      </w:r>
      <w:r>
        <w:rPr>
          <w:rFonts w:hint="eastAsia" w:ascii="Times New Roman"/>
          <w:highlight w:val="none"/>
        </w:rPr>
        <w:t>；</w:t>
      </w:r>
    </w:p>
    <w:p w14:paraId="2E22AD40">
      <w:pPr>
        <w:pStyle w:val="124"/>
        <w:ind w:firstLine="420"/>
        <w:rPr>
          <w:rFonts w:ascii="Times New Roman"/>
          <w:highlight w:val="none"/>
        </w:rPr>
      </w:pPr>
      <w:r>
        <w:rPr>
          <w:rFonts w:ascii="Times New Roman"/>
          <w:i/>
          <w:iCs/>
          <w:highlight w:val="none"/>
        </w:rPr>
        <w:t>n</w:t>
      </w:r>
      <w:r>
        <w:rPr>
          <w:rFonts w:hint="eastAsia" w:ascii="Times New Roman"/>
          <w:highlight w:val="none"/>
        </w:rPr>
        <w:t>——取样次数。</w:t>
      </w:r>
    </w:p>
    <w:p w14:paraId="05250A7F">
      <w:pPr>
        <w:pStyle w:val="124"/>
        <w:ind w:firstLine="420"/>
        <w:rPr>
          <w:rFonts w:ascii="Times New Roman"/>
          <w:highlight w:val="none"/>
        </w:rPr>
      </w:pPr>
      <w:r>
        <w:rPr>
          <w:rFonts w:hint="eastAsia" w:ascii="Times New Roman"/>
          <w:highlight w:val="none"/>
        </w:rPr>
        <w:t>结果保留两位小数。</w:t>
      </w:r>
    </w:p>
    <w:p w14:paraId="3552E7A8">
      <w:pPr>
        <w:pStyle w:val="126"/>
        <w:spacing w:before="158" w:after="158"/>
        <w:rPr>
          <w:rFonts w:ascii="Times New Roman"/>
          <w:szCs w:val="22"/>
          <w:highlight w:val="none"/>
        </w:rPr>
      </w:pPr>
      <w:bookmarkStart w:id="92" w:name="_Toc12233"/>
      <w:bookmarkStart w:id="93" w:name="_Toc138847370"/>
      <w:bookmarkStart w:id="94" w:name="_Toc138831859"/>
      <w:r>
        <w:rPr>
          <w:rFonts w:hint="eastAsia" w:ascii="Times New Roman"/>
          <w:szCs w:val="22"/>
          <w:highlight w:val="none"/>
        </w:rPr>
        <w:t>皮内滞留量</w:t>
      </w:r>
      <w:bookmarkEnd w:id="92"/>
    </w:p>
    <w:p w14:paraId="3C6902B6">
      <w:pPr>
        <w:pStyle w:val="124"/>
        <w:ind w:firstLine="420"/>
        <w:rPr>
          <w:rFonts w:ascii="Times New Roman"/>
          <w:highlight w:val="none"/>
        </w:rPr>
      </w:pPr>
      <w:r>
        <w:rPr>
          <w:rFonts w:hint="eastAsia" w:ascii="Times New Roman"/>
          <w:highlight w:val="none"/>
        </w:rPr>
        <w:t>按式（</w:t>
      </w:r>
      <w:r>
        <w:rPr>
          <w:rFonts w:ascii="Times New Roman"/>
          <w:highlight w:val="none"/>
        </w:rPr>
        <w:t>2</w:t>
      </w:r>
      <w:r>
        <w:rPr>
          <w:rFonts w:hint="eastAsia" w:ascii="Times New Roman"/>
          <w:highlight w:val="none"/>
        </w:rPr>
        <w:t>）计算皮内滞留量</w:t>
      </w:r>
      <w:r>
        <w:rPr>
          <w:rFonts w:hint="eastAsia" w:ascii="Times New Roman"/>
          <w:i/>
          <w:iCs/>
          <w:highlight w:val="none"/>
        </w:rPr>
        <w:t>Q</w:t>
      </w:r>
      <w:r>
        <w:rPr>
          <w:rFonts w:hint="eastAsia" w:ascii="Times New Roman"/>
          <w:highlight w:val="none"/>
          <w:vertAlign w:val="subscript"/>
        </w:rPr>
        <w:t>皮</w:t>
      </w:r>
      <w:r>
        <w:rPr>
          <w:rFonts w:hint="eastAsia" w:ascii="Times New Roman"/>
          <w:highlight w:val="none"/>
        </w:rPr>
        <w:t>，以</w:t>
      </w:r>
      <w:r>
        <w:rPr>
          <w:rFonts w:ascii="Times New Roman"/>
          <w:highlight w:val="none"/>
        </w:rPr>
        <w:t>μg</w:t>
      </w:r>
      <w:r>
        <w:rPr>
          <w:rFonts w:hint="eastAsia" w:ascii="Times New Roman"/>
          <w:highlight w:val="none"/>
        </w:rPr>
        <w:t>表示</w:t>
      </w:r>
    </w:p>
    <w:p w14:paraId="38AA32DE">
      <w:pPr>
        <w:pStyle w:val="124"/>
        <w:ind w:firstLine="420"/>
        <w:jc w:val="right"/>
        <w:rPr>
          <w:highlight w:val="none"/>
        </w:rPr>
      </w:pPr>
      <w:r>
        <w:rPr>
          <w:highlight w:val="none"/>
        </w:rPr>
        <w:object>
          <v:shape id="_x0000_i1027" o:spt="75" type="#_x0000_t75" style="height:19.15pt;width:58.9pt;" o:ole="t" filled="f" o:preferrelative="t" stroked="f" coordsize="21600,21600">
            <v:path/>
            <v:fill on="f" focussize="0,0"/>
            <v:stroke on="f" joinstyle="miter"/>
            <v:imagedata r:id="rId22" o:title=""/>
            <o:lock v:ext="edit" aspectratio="t"/>
            <w10:wrap type="none"/>
            <w10:anchorlock/>
          </v:shape>
          <o:OLEObject Type="Embed" ProgID="Unknown" ShapeID="_x0000_i1027" DrawAspect="Content" ObjectID="_1468075727" r:id="rId21">
            <o:LockedField>false</o:LockedField>
          </o:OLEObject>
        </w:object>
      </w:r>
      <w:r>
        <w:rPr>
          <w:rFonts w:hint="eastAsia"/>
          <w:highlight w:val="none"/>
        </w:rPr>
        <w:t>…………………………………………（</w:t>
      </w:r>
      <w:r>
        <w:rPr>
          <w:highlight w:val="none"/>
        </w:rPr>
        <w:t>2</w:t>
      </w:r>
      <w:r>
        <w:rPr>
          <w:rFonts w:hint="eastAsia"/>
          <w:highlight w:val="none"/>
        </w:rPr>
        <w:t>）</w:t>
      </w:r>
    </w:p>
    <w:p w14:paraId="05EFFFCD">
      <w:pPr>
        <w:pStyle w:val="124"/>
        <w:ind w:firstLine="420"/>
        <w:rPr>
          <w:highlight w:val="none"/>
        </w:rPr>
      </w:pPr>
      <w:r>
        <w:rPr>
          <w:rFonts w:hint="eastAsia"/>
          <w:highlight w:val="none"/>
        </w:rPr>
        <w:t>式中：</w:t>
      </w:r>
    </w:p>
    <w:p w14:paraId="6CEAB236">
      <w:pPr>
        <w:pStyle w:val="124"/>
        <w:ind w:firstLine="420"/>
        <w:rPr>
          <w:rFonts w:ascii="Times New Roman"/>
          <w:highlight w:val="none"/>
        </w:rPr>
      </w:pPr>
      <w:r>
        <w:rPr>
          <w:rFonts w:hint="eastAsia" w:ascii="Times New Roman"/>
          <w:i/>
          <w:iCs/>
          <w:highlight w:val="none"/>
        </w:rPr>
        <w:t>Q</w:t>
      </w:r>
      <w:r>
        <w:rPr>
          <w:rFonts w:hint="eastAsia" w:ascii="Times New Roman"/>
          <w:highlight w:val="none"/>
          <w:vertAlign w:val="subscript"/>
        </w:rPr>
        <w:t>皮</w:t>
      </w:r>
      <w:r>
        <w:rPr>
          <w:rFonts w:hint="eastAsia" w:ascii="Times New Roman"/>
          <w:highlight w:val="none"/>
        </w:rPr>
        <w:t>——皮内滞留量，单位为微克</w:t>
      </w:r>
      <w:r>
        <w:rPr>
          <w:rFonts w:ascii="Times New Roman"/>
          <w:highlight w:val="none"/>
        </w:rPr>
        <w:t>（μg）</w:t>
      </w:r>
      <w:r>
        <w:rPr>
          <w:rFonts w:hint="eastAsia" w:ascii="Times New Roman"/>
          <w:highlight w:val="none"/>
        </w:rPr>
        <w:t>；</w:t>
      </w:r>
    </w:p>
    <w:p w14:paraId="6C5071B3">
      <w:pPr>
        <w:pStyle w:val="124"/>
        <w:ind w:firstLine="420"/>
        <w:rPr>
          <w:rFonts w:ascii="Times New Roman"/>
          <w:highlight w:val="none"/>
        </w:rPr>
      </w:pPr>
      <w:r>
        <w:rPr>
          <w:rFonts w:hint="eastAsia" w:ascii="Times New Roman"/>
          <w:i/>
          <w:iCs/>
          <w:highlight w:val="none"/>
        </w:rPr>
        <w:t>C</w:t>
      </w:r>
      <w:r>
        <w:rPr>
          <w:rFonts w:hint="eastAsia" w:ascii="Times New Roman"/>
          <w:highlight w:val="none"/>
          <w:vertAlign w:val="subscript"/>
        </w:rPr>
        <w:t>皮</w:t>
      </w:r>
      <w:r>
        <w:rPr>
          <w:rFonts w:hint="eastAsia" w:ascii="Times New Roman"/>
          <w:highlight w:val="none"/>
        </w:rPr>
        <w:t>——皮内受试物提取</w:t>
      </w:r>
      <w:r>
        <w:rPr>
          <w:rFonts w:ascii="Times New Roman"/>
          <w:highlight w:val="none"/>
        </w:rPr>
        <w:t>液浓度</w:t>
      </w:r>
      <w:r>
        <w:rPr>
          <w:rFonts w:hint="eastAsia" w:ascii="Times New Roman"/>
          <w:highlight w:val="none"/>
        </w:rPr>
        <w:t>，单位为微克每毫升</w:t>
      </w:r>
      <w:r>
        <w:rPr>
          <w:rFonts w:ascii="Times New Roman"/>
          <w:highlight w:val="none"/>
        </w:rPr>
        <w:t>（μg/mL）</w:t>
      </w:r>
      <w:r>
        <w:rPr>
          <w:rFonts w:hint="eastAsia" w:ascii="Times New Roman"/>
          <w:highlight w:val="none"/>
        </w:rPr>
        <w:t>；</w:t>
      </w:r>
    </w:p>
    <w:p w14:paraId="4DC46B48">
      <w:pPr>
        <w:pStyle w:val="124"/>
        <w:ind w:firstLine="420"/>
        <w:rPr>
          <w:rFonts w:ascii="Times New Roman"/>
          <w:highlight w:val="none"/>
        </w:rPr>
      </w:pPr>
      <w:r>
        <w:rPr>
          <w:rFonts w:hint="eastAsia" w:ascii="Times New Roman"/>
          <w:i/>
          <w:iCs/>
          <w:highlight w:val="none"/>
        </w:rPr>
        <w:t>V</w:t>
      </w:r>
      <w:r>
        <w:rPr>
          <w:rFonts w:hint="eastAsia" w:ascii="Times New Roman"/>
          <w:highlight w:val="none"/>
          <w:vertAlign w:val="subscript"/>
        </w:rPr>
        <w:t>皮</w:t>
      </w:r>
      <w:r>
        <w:rPr>
          <w:rFonts w:hint="eastAsia" w:ascii="Times New Roman"/>
          <w:highlight w:val="none"/>
        </w:rPr>
        <w:t>——皮内受试物提取液</w:t>
      </w:r>
      <w:r>
        <w:rPr>
          <w:rFonts w:ascii="Times New Roman"/>
          <w:highlight w:val="none"/>
        </w:rPr>
        <w:t>体积</w:t>
      </w:r>
      <w:r>
        <w:rPr>
          <w:rFonts w:hint="eastAsia" w:ascii="Times New Roman"/>
          <w:highlight w:val="none"/>
        </w:rPr>
        <w:t>，单位为毫升</w:t>
      </w:r>
      <w:r>
        <w:rPr>
          <w:rFonts w:ascii="Times New Roman"/>
          <w:highlight w:val="none"/>
        </w:rPr>
        <w:t>（mL）</w:t>
      </w:r>
      <w:r>
        <w:rPr>
          <w:rFonts w:hint="eastAsia" w:ascii="Times New Roman"/>
          <w:highlight w:val="none"/>
        </w:rPr>
        <w:t>。</w:t>
      </w:r>
    </w:p>
    <w:p w14:paraId="11061148">
      <w:pPr>
        <w:pStyle w:val="124"/>
        <w:ind w:firstLine="420"/>
        <w:rPr>
          <w:rFonts w:ascii="Times New Roman"/>
          <w:highlight w:val="none"/>
        </w:rPr>
      </w:pPr>
      <w:r>
        <w:rPr>
          <w:rFonts w:hint="eastAsia" w:ascii="Times New Roman"/>
          <w:highlight w:val="none"/>
        </w:rPr>
        <w:t>结果保留两位小数。</w:t>
      </w:r>
    </w:p>
    <w:p w14:paraId="05566F5B">
      <w:pPr>
        <w:pStyle w:val="126"/>
        <w:spacing w:before="158" w:after="158"/>
        <w:rPr>
          <w:rFonts w:ascii="Times New Roman"/>
          <w:szCs w:val="22"/>
          <w:highlight w:val="none"/>
        </w:rPr>
      </w:pPr>
      <w:r>
        <w:rPr>
          <w:rFonts w:hint="eastAsia" w:ascii="Times New Roman"/>
          <w:szCs w:val="22"/>
          <w:highlight w:val="none"/>
        </w:rPr>
        <w:t xml:space="preserve"> </w:t>
      </w:r>
      <w:bookmarkStart w:id="95" w:name="_Toc14744"/>
      <w:r>
        <w:rPr>
          <w:rFonts w:hint="eastAsia" w:ascii="Times New Roman"/>
          <w:szCs w:val="22"/>
          <w:highlight w:val="none"/>
        </w:rPr>
        <w:t>未吸收的量</w:t>
      </w:r>
      <w:bookmarkEnd w:id="95"/>
    </w:p>
    <w:p w14:paraId="7583A010">
      <w:pPr>
        <w:pStyle w:val="124"/>
        <w:ind w:firstLine="420"/>
        <w:rPr>
          <w:rFonts w:ascii="Times New Roman"/>
          <w:highlight w:val="none"/>
        </w:rPr>
      </w:pPr>
      <w:r>
        <w:rPr>
          <w:rFonts w:hint="eastAsia" w:ascii="Times New Roman"/>
          <w:szCs w:val="22"/>
          <w:highlight w:val="none"/>
        </w:rPr>
        <w:t>按式（3）计算未吸收剂量</w:t>
      </w:r>
      <w:r>
        <w:rPr>
          <w:rFonts w:hint="eastAsia" w:ascii="Times New Roman"/>
          <w:i/>
          <w:iCs/>
          <w:highlight w:val="none"/>
        </w:rPr>
        <w:t>Q</w:t>
      </w:r>
      <w:r>
        <w:rPr>
          <w:rFonts w:hint="eastAsia" w:ascii="Times New Roman"/>
          <w:highlight w:val="none"/>
          <w:vertAlign w:val="subscript"/>
        </w:rPr>
        <w:t>未</w:t>
      </w:r>
      <w:r>
        <w:rPr>
          <w:rFonts w:hint="eastAsia" w:ascii="Times New Roman"/>
          <w:highlight w:val="none"/>
        </w:rPr>
        <w:t>，以</w:t>
      </w:r>
      <w:r>
        <w:rPr>
          <w:rFonts w:ascii="Times New Roman"/>
          <w:highlight w:val="none"/>
        </w:rPr>
        <w:t>μg</w:t>
      </w:r>
      <w:r>
        <w:rPr>
          <w:rFonts w:hint="eastAsia" w:ascii="Times New Roman"/>
          <w:highlight w:val="none"/>
        </w:rPr>
        <w:t>表示</w:t>
      </w:r>
    </w:p>
    <w:p w14:paraId="4B203EDF">
      <w:pPr>
        <w:pStyle w:val="124"/>
        <w:ind w:firstLine="420"/>
        <w:jc w:val="center"/>
        <w:rPr>
          <w:highlight w:val="none"/>
        </w:rPr>
      </w:pPr>
      <w:r>
        <w:rPr>
          <w:rFonts w:hint="eastAsia" w:ascii="Times New Roman"/>
          <w:szCs w:val="22"/>
          <w:highlight w:val="none"/>
        </w:rPr>
        <w:t xml:space="preserve">                              </w:t>
      </w:r>
      <w:r>
        <w:rPr>
          <w:rFonts w:ascii="Times New Roman"/>
          <w:position w:val="-14"/>
          <w:szCs w:val="22"/>
          <w:highlight w:val="none"/>
        </w:rPr>
        <w:object>
          <v:shape id="_x0000_i1028" o:spt="75" type="#_x0000_t75" style="height:19pt;width:102pt;" o:ole="t" filled="f" o:preferrelative="t" stroked="f" coordsize="21600,21600">
            <v:path/>
            <v:fill on="f" focussize="0,0"/>
            <v:stroke on="f" joinstyle="miter"/>
            <v:imagedata r:id="rId24" o:title=""/>
            <o:lock v:ext="edit" aspectratio="t"/>
            <w10:wrap type="none"/>
            <w10:anchorlock/>
          </v:shape>
          <o:OLEObject Type="Embed" ProgID="Equation.KSEE3" ShapeID="_x0000_i1028" DrawAspect="Content" ObjectID="_1468075728" r:id="rId23">
            <o:LockedField>false</o:LockedField>
          </o:OLEObject>
        </w:object>
      </w:r>
      <w:r>
        <w:rPr>
          <w:rFonts w:hint="eastAsia"/>
          <w:highlight w:val="none"/>
        </w:rPr>
        <w:t>……………………………………（3）</w:t>
      </w:r>
    </w:p>
    <w:p w14:paraId="68919B58">
      <w:pPr>
        <w:pStyle w:val="124"/>
        <w:ind w:firstLine="420"/>
        <w:rPr>
          <w:highlight w:val="none"/>
        </w:rPr>
      </w:pPr>
      <w:r>
        <w:rPr>
          <w:rFonts w:hint="eastAsia"/>
          <w:highlight w:val="none"/>
        </w:rPr>
        <w:t>式中：</w:t>
      </w:r>
    </w:p>
    <w:p w14:paraId="28A75394">
      <w:pPr>
        <w:pStyle w:val="124"/>
        <w:ind w:firstLine="420"/>
        <w:rPr>
          <w:rFonts w:ascii="Times New Roman"/>
          <w:highlight w:val="none"/>
        </w:rPr>
      </w:pPr>
      <w:r>
        <w:rPr>
          <w:rFonts w:ascii="Times New Roman"/>
          <w:i/>
          <w:iCs/>
          <w:szCs w:val="22"/>
          <w:highlight w:val="none"/>
        </w:rPr>
        <w:t>C</w:t>
      </w:r>
      <w:r>
        <w:rPr>
          <w:rFonts w:ascii="Times New Roman"/>
          <w:i/>
          <w:iCs/>
          <w:szCs w:val="22"/>
          <w:highlight w:val="none"/>
          <w:vertAlign w:val="subscript"/>
        </w:rPr>
        <w:t>洗</w:t>
      </w:r>
      <w:r>
        <w:rPr>
          <w:rFonts w:ascii="Times New Roman"/>
          <w:highlight w:val="none"/>
        </w:rPr>
        <w:t>——</w:t>
      </w:r>
      <w:r>
        <w:rPr>
          <w:rFonts w:hint="eastAsia" w:ascii="Times New Roman"/>
          <w:highlight w:val="none"/>
        </w:rPr>
        <w:t>皮肤</w:t>
      </w:r>
      <w:r>
        <w:rPr>
          <w:rFonts w:ascii="Times New Roman"/>
          <w:highlight w:val="none"/>
        </w:rPr>
        <w:t>表面、给样池器具上冲洗下来的</w:t>
      </w:r>
      <w:r>
        <w:rPr>
          <w:rFonts w:hint="eastAsia" w:ascii="Times New Roman"/>
          <w:highlight w:val="none"/>
        </w:rPr>
        <w:t>受试</w:t>
      </w:r>
      <w:r>
        <w:rPr>
          <w:rFonts w:ascii="Times New Roman"/>
          <w:highlight w:val="none"/>
        </w:rPr>
        <w:t>物浓度，单位为微克每毫升（μg/mL）；</w:t>
      </w:r>
    </w:p>
    <w:p w14:paraId="28884DFD">
      <w:pPr>
        <w:pStyle w:val="124"/>
        <w:ind w:firstLine="420"/>
        <w:rPr>
          <w:rFonts w:ascii="Times New Roman"/>
          <w:highlight w:val="none"/>
        </w:rPr>
      </w:pPr>
      <w:r>
        <w:rPr>
          <w:rFonts w:ascii="Times New Roman"/>
          <w:i/>
          <w:iCs/>
          <w:szCs w:val="22"/>
          <w:highlight w:val="none"/>
        </w:rPr>
        <w:t>V</w:t>
      </w:r>
      <w:r>
        <w:rPr>
          <w:rFonts w:ascii="Times New Roman"/>
          <w:i/>
          <w:iCs/>
          <w:szCs w:val="22"/>
          <w:highlight w:val="none"/>
          <w:vertAlign w:val="subscript"/>
        </w:rPr>
        <w:t>洗</w:t>
      </w:r>
      <w:r>
        <w:rPr>
          <w:rFonts w:ascii="Times New Roman"/>
          <w:highlight w:val="none"/>
        </w:rPr>
        <w:t>——</w:t>
      </w:r>
      <w:r>
        <w:rPr>
          <w:rFonts w:hint="eastAsia" w:ascii="Times New Roman"/>
          <w:highlight w:val="none"/>
        </w:rPr>
        <w:t>皮肤</w:t>
      </w:r>
      <w:r>
        <w:rPr>
          <w:rFonts w:ascii="Times New Roman"/>
          <w:highlight w:val="none"/>
        </w:rPr>
        <w:t>表面、给样池器具上冲洗下来的</w:t>
      </w:r>
      <w:r>
        <w:rPr>
          <w:rFonts w:hint="eastAsia" w:ascii="Times New Roman"/>
          <w:highlight w:val="none"/>
        </w:rPr>
        <w:t>受试</w:t>
      </w:r>
      <w:r>
        <w:rPr>
          <w:rFonts w:ascii="Times New Roman"/>
          <w:highlight w:val="none"/>
        </w:rPr>
        <w:t>物样液体积，单位为毫升（mL）；</w:t>
      </w:r>
    </w:p>
    <w:p w14:paraId="6E49ADFA">
      <w:pPr>
        <w:pStyle w:val="124"/>
        <w:ind w:firstLine="420"/>
        <w:rPr>
          <w:rFonts w:ascii="Times New Roman"/>
          <w:highlight w:val="none"/>
        </w:rPr>
      </w:pPr>
      <w:r>
        <w:rPr>
          <w:rFonts w:ascii="Times New Roman"/>
          <w:i/>
          <w:iCs/>
          <w:szCs w:val="22"/>
          <w:highlight w:val="none"/>
        </w:rPr>
        <w:t>C</w:t>
      </w:r>
      <w:r>
        <w:rPr>
          <w:rFonts w:ascii="Times New Roman"/>
          <w:i/>
          <w:iCs/>
          <w:szCs w:val="22"/>
          <w:highlight w:val="none"/>
          <w:vertAlign w:val="subscript"/>
        </w:rPr>
        <w:t>胶</w:t>
      </w:r>
      <w:r>
        <w:rPr>
          <w:rFonts w:ascii="Times New Roman"/>
          <w:highlight w:val="none"/>
        </w:rPr>
        <w:t>——对</w:t>
      </w:r>
      <w:r>
        <w:rPr>
          <w:rFonts w:hint="eastAsia" w:ascii="Times New Roman"/>
          <w:highlight w:val="none"/>
        </w:rPr>
        <w:t>皮肤角质层</w:t>
      </w:r>
      <w:r>
        <w:rPr>
          <w:rFonts w:ascii="Times New Roman"/>
          <w:highlight w:val="none"/>
        </w:rPr>
        <w:t>剥离的胶带（1</w:t>
      </w:r>
      <w:r>
        <w:rPr>
          <w:rFonts w:hint="eastAsia" w:ascii="Times New Roman"/>
          <w:highlight w:val="none"/>
          <w:lang w:val="en-US" w:eastAsia="zh-CN"/>
        </w:rPr>
        <w:t>条</w:t>
      </w:r>
      <w:r>
        <w:rPr>
          <w:rFonts w:ascii="Times New Roman"/>
          <w:highlight w:val="none"/>
        </w:rPr>
        <w:t>~2条或1</w:t>
      </w:r>
      <w:r>
        <w:rPr>
          <w:rFonts w:hint="eastAsia" w:ascii="Times New Roman"/>
          <w:highlight w:val="none"/>
          <w:lang w:val="en-US" w:eastAsia="zh-CN"/>
        </w:rPr>
        <w:t>层</w:t>
      </w:r>
      <w:r>
        <w:rPr>
          <w:rFonts w:ascii="Times New Roman"/>
          <w:highlight w:val="none"/>
        </w:rPr>
        <w:t>~∞层），单位为微克每毫升（μg/mL）；</w:t>
      </w:r>
    </w:p>
    <w:p w14:paraId="1E117003">
      <w:pPr>
        <w:pStyle w:val="124"/>
        <w:ind w:firstLine="420"/>
        <w:rPr>
          <w:rFonts w:ascii="Times New Roman"/>
          <w:highlight w:val="none"/>
        </w:rPr>
      </w:pPr>
      <w:r>
        <w:rPr>
          <w:rFonts w:ascii="Times New Roman"/>
          <w:i/>
          <w:iCs/>
          <w:szCs w:val="22"/>
          <w:highlight w:val="none"/>
        </w:rPr>
        <w:t>V</w:t>
      </w:r>
      <w:r>
        <w:rPr>
          <w:rFonts w:ascii="Times New Roman"/>
          <w:i/>
          <w:iCs/>
          <w:szCs w:val="22"/>
          <w:highlight w:val="none"/>
          <w:vertAlign w:val="subscript"/>
        </w:rPr>
        <w:t>胶</w:t>
      </w:r>
      <w:r>
        <w:rPr>
          <w:rFonts w:ascii="Times New Roman"/>
          <w:highlight w:val="none"/>
        </w:rPr>
        <w:t>——</w:t>
      </w:r>
      <w:r>
        <w:rPr>
          <w:rFonts w:hint="eastAsia" w:ascii="Times New Roman"/>
          <w:highlight w:val="none"/>
        </w:rPr>
        <w:t>胶带提取液</w:t>
      </w:r>
      <w:r>
        <w:rPr>
          <w:rFonts w:ascii="Times New Roman"/>
          <w:highlight w:val="none"/>
        </w:rPr>
        <w:t>体积，单位为毫升（mL）</w:t>
      </w:r>
      <w:r>
        <w:rPr>
          <w:rFonts w:hint="eastAsia" w:ascii="Times New Roman"/>
          <w:highlight w:val="none"/>
        </w:rPr>
        <w:t>。</w:t>
      </w:r>
    </w:p>
    <w:p w14:paraId="2235E328">
      <w:pPr>
        <w:pStyle w:val="124"/>
        <w:ind w:firstLine="420"/>
        <w:rPr>
          <w:rFonts w:ascii="Times New Roman"/>
          <w:highlight w:val="none"/>
        </w:rPr>
      </w:pPr>
      <w:r>
        <w:rPr>
          <w:rFonts w:hint="eastAsia" w:ascii="Times New Roman"/>
          <w:highlight w:val="none"/>
        </w:rPr>
        <w:t>结果保留两位小数。</w:t>
      </w:r>
    </w:p>
    <w:p w14:paraId="54347E93">
      <w:pPr>
        <w:pStyle w:val="124"/>
        <w:ind w:firstLine="199" w:firstLineChars="95"/>
        <w:rPr>
          <w:rFonts w:ascii="Times New Roman"/>
          <w:highlight w:val="none"/>
        </w:rPr>
      </w:pPr>
    </w:p>
    <w:bookmarkEnd w:id="93"/>
    <w:bookmarkEnd w:id="94"/>
    <w:p w14:paraId="6A70646F">
      <w:pPr>
        <w:pStyle w:val="126"/>
        <w:spacing w:before="158" w:after="158"/>
        <w:rPr>
          <w:rFonts w:ascii="Times New Roman"/>
          <w:szCs w:val="22"/>
          <w:highlight w:val="none"/>
        </w:rPr>
      </w:pPr>
      <w:bookmarkStart w:id="96" w:name="_Toc2305"/>
      <w:bookmarkStart w:id="97" w:name="_Toc159516882"/>
      <w:bookmarkStart w:id="98" w:name="_Toc156817230"/>
      <w:r>
        <w:rPr>
          <w:rFonts w:hint="eastAsia" w:ascii="Times New Roman"/>
          <w:szCs w:val="22"/>
          <w:highlight w:val="none"/>
        </w:rPr>
        <w:t>渗透系数</w:t>
      </w:r>
      <w:bookmarkEnd w:id="96"/>
      <w:bookmarkEnd w:id="97"/>
      <w:bookmarkEnd w:id="98"/>
    </w:p>
    <w:p w14:paraId="2E935BAE">
      <w:pPr>
        <w:pStyle w:val="124"/>
        <w:ind w:firstLine="420"/>
        <w:rPr>
          <w:rFonts w:ascii="Times New Roman"/>
          <w:highlight w:val="none"/>
        </w:rPr>
      </w:pPr>
      <w:r>
        <w:rPr>
          <w:rFonts w:hint="eastAsia" w:ascii="Times New Roman"/>
          <w:highlight w:val="none"/>
        </w:rPr>
        <w:t>按式（4）计算渗透系数</w:t>
      </w:r>
      <w:r>
        <w:rPr>
          <w:rFonts w:hint="eastAsia" w:ascii="Times New Roman"/>
          <w:i/>
          <w:iCs/>
          <w:highlight w:val="none"/>
        </w:rPr>
        <w:t>K</w:t>
      </w:r>
      <w:r>
        <w:rPr>
          <w:rFonts w:ascii="Times New Roman"/>
          <w:i/>
          <w:iCs/>
          <w:highlight w:val="none"/>
          <w:vertAlign w:val="subscript"/>
        </w:rPr>
        <w:t>p</w:t>
      </w:r>
      <w:bookmarkStart w:id="99" w:name="_Hlk160551164"/>
      <w:r>
        <w:rPr>
          <w:rFonts w:hint="eastAsia" w:ascii="Times New Roman"/>
          <w:highlight w:val="none"/>
        </w:rPr>
        <w:t>，以</w:t>
      </w:r>
      <w:r>
        <w:rPr>
          <w:rFonts w:ascii="Times New Roman"/>
          <w:highlight w:val="none"/>
        </w:rPr>
        <w:t>μ</w:t>
      </w:r>
      <w:r>
        <w:rPr>
          <w:rFonts w:hint="eastAsia" w:ascii="Times New Roman"/>
          <w:highlight w:val="none"/>
        </w:rPr>
        <w:t>g</w:t>
      </w:r>
      <w:r>
        <w:rPr>
          <w:rFonts w:ascii="Times New Roman"/>
          <w:highlight w:val="none"/>
        </w:rPr>
        <w:t>/h</w:t>
      </w:r>
      <w:r>
        <w:rPr>
          <w:rFonts w:hint="eastAsia" w:ascii="Times New Roman"/>
          <w:highlight w:val="none"/>
        </w:rPr>
        <w:t>表示</w:t>
      </w:r>
      <w:bookmarkEnd w:id="99"/>
    </w:p>
    <w:p w14:paraId="2413B2DB">
      <w:pPr>
        <w:pStyle w:val="124"/>
        <w:ind w:firstLine="420"/>
        <w:jc w:val="center"/>
        <w:rPr>
          <w:rFonts w:ascii="Times New Roman"/>
          <w:highlight w:val="none"/>
        </w:rPr>
      </w:pPr>
      <w:bookmarkStart w:id="100" w:name="_Hlk160551140"/>
      <w:r>
        <w:rPr>
          <w:rFonts w:hint="eastAsia"/>
          <w:highlight w:val="none"/>
        </w:rPr>
        <w:t xml:space="preserve">                               </w:t>
      </w:r>
      <w:r>
        <w:rPr>
          <w:highlight w:val="none"/>
        </w:rPr>
        <w:object>
          <v:shape id="_x0000_i1029" o:spt="75" type="#_x0000_t75" style="height:18pt;width:63pt;" o:ole="t" filled="f" o:preferrelative="t" stroked="f" coordsize="21600,21600">
            <v:path/>
            <v:fill on="f" focussize="0,0"/>
            <v:stroke on="f" joinstyle="miter"/>
            <v:imagedata r:id="rId26" o:title=""/>
            <o:lock v:ext="edit" aspectratio="t"/>
            <w10:wrap type="none"/>
            <w10:anchorlock/>
          </v:shape>
          <o:OLEObject Type="Embed" ProgID="Unknown" ShapeID="_x0000_i1029" DrawAspect="Content" ObjectID="_1468075729" r:id="rId25">
            <o:LockedField>false</o:LockedField>
          </o:OLEObject>
        </w:object>
      </w:r>
      <w:bookmarkEnd w:id="100"/>
      <w:r>
        <w:rPr>
          <w:highlight w:val="none"/>
        </w:rPr>
        <w:t xml:space="preserve">    </w:t>
      </w:r>
      <w:r>
        <w:rPr>
          <w:rFonts w:hint="eastAsia"/>
          <w:highlight w:val="none"/>
        </w:rPr>
        <w:t>……………………………………（4）</w:t>
      </w:r>
    </w:p>
    <w:p w14:paraId="1395D414">
      <w:pPr>
        <w:pStyle w:val="124"/>
        <w:ind w:firstLine="420"/>
        <w:rPr>
          <w:rFonts w:ascii="Times New Roman"/>
          <w:highlight w:val="none"/>
        </w:rPr>
      </w:pPr>
      <w:r>
        <w:rPr>
          <w:rFonts w:hint="eastAsia" w:ascii="Times New Roman"/>
          <w:highlight w:val="none"/>
        </w:rPr>
        <w:t>式中：</w:t>
      </w:r>
    </w:p>
    <w:p w14:paraId="60A109F4">
      <w:pPr>
        <w:pStyle w:val="124"/>
        <w:ind w:firstLine="420"/>
        <w:rPr>
          <w:rFonts w:ascii="Times New Roman"/>
          <w:highlight w:val="none"/>
        </w:rPr>
      </w:pPr>
      <w:r>
        <w:rPr>
          <w:rFonts w:ascii="Times New Roman"/>
          <w:i/>
          <w:iCs/>
          <w:highlight w:val="none"/>
        </w:rPr>
        <w:t>K</w:t>
      </w:r>
      <w:r>
        <w:rPr>
          <w:rFonts w:hint="eastAsia" w:ascii="Times New Roman"/>
          <w:i/>
          <w:iCs/>
          <w:highlight w:val="none"/>
          <w:vertAlign w:val="subscript"/>
        </w:rPr>
        <w:t>p</w:t>
      </w:r>
      <w:r>
        <w:rPr>
          <w:rFonts w:hint="eastAsia" w:ascii="Times New Roman"/>
          <w:highlight w:val="none"/>
        </w:rPr>
        <w:t>——渗透速率，单位为微克每小时（</w:t>
      </w:r>
      <w:r>
        <w:rPr>
          <w:rFonts w:ascii="Times New Roman"/>
          <w:highlight w:val="none"/>
        </w:rPr>
        <w:t>μ</w:t>
      </w:r>
      <w:r>
        <w:rPr>
          <w:rFonts w:hint="eastAsia" w:ascii="Times New Roman"/>
          <w:highlight w:val="none"/>
        </w:rPr>
        <w:t>g</w:t>
      </w:r>
      <w:r>
        <w:rPr>
          <w:rFonts w:ascii="Times New Roman"/>
          <w:highlight w:val="none"/>
        </w:rPr>
        <w:t>/h</w:t>
      </w:r>
      <w:r>
        <w:rPr>
          <w:rFonts w:hint="eastAsia" w:ascii="Times New Roman"/>
          <w:highlight w:val="none"/>
        </w:rPr>
        <w:t>）；</w:t>
      </w:r>
    </w:p>
    <w:p w14:paraId="1AD4DCD9">
      <w:pPr>
        <w:pStyle w:val="124"/>
        <w:ind w:firstLine="420"/>
        <w:rPr>
          <w:rFonts w:ascii="Times New Roman"/>
          <w:highlight w:val="none"/>
        </w:rPr>
      </w:pPr>
      <w:bookmarkStart w:id="101" w:name="_Hlk160551181"/>
      <w:r>
        <w:rPr>
          <w:rFonts w:ascii="Times New Roman"/>
          <w:i/>
          <w:iCs/>
          <w:highlight w:val="none"/>
        </w:rPr>
        <w:t>Q</w:t>
      </w:r>
      <w:r>
        <w:rPr>
          <w:rFonts w:ascii="Times New Roman"/>
          <w:i/>
          <w:iCs/>
          <w:highlight w:val="none"/>
          <w:vertAlign w:val="subscript"/>
        </w:rPr>
        <w:t>n</w:t>
      </w:r>
      <w:bookmarkEnd w:id="101"/>
      <w:r>
        <w:rPr>
          <w:rFonts w:hint="eastAsia" w:ascii="Times New Roman"/>
          <w:highlight w:val="none"/>
        </w:rPr>
        <w:t>——</w:t>
      </w:r>
      <w:r>
        <w:rPr>
          <w:rFonts w:ascii="Times New Roman"/>
          <w:highlight w:val="none"/>
        </w:rPr>
        <w:t>累</w:t>
      </w:r>
      <w:r>
        <w:rPr>
          <w:rFonts w:hint="eastAsia" w:ascii="Times New Roman"/>
          <w:highlight w:val="none"/>
        </w:rPr>
        <w:t>积</w:t>
      </w:r>
      <w:r>
        <w:rPr>
          <w:rFonts w:ascii="Times New Roman"/>
          <w:highlight w:val="none"/>
        </w:rPr>
        <w:t>渗透量</w:t>
      </w:r>
      <w:r>
        <w:rPr>
          <w:rFonts w:hint="eastAsia" w:ascii="Times New Roman"/>
          <w:highlight w:val="none"/>
        </w:rPr>
        <w:t>，单位为微克</w:t>
      </w:r>
      <w:r>
        <w:rPr>
          <w:rFonts w:ascii="Times New Roman"/>
          <w:highlight w:val="none"/>
        </w:rPr>
        <w:t>（μg）</w:t>
      </w:r>
      <w:r>
        <w:rPr>
          <w:rFonts w:hint="eastAsia" w:ascii="Times New Roman"/>
          <w:highlight w:val="none"/>
        </w:rPr>
        <w:t>；</w:t>
      </w:r>
    </w:p>
    <w:p w14:paraId="6731C778">
      <w:pPr>
        <w:pStyle w:val="124"/>
        <w:ind w:firstLine="420"/>
        <w:rPr>
          <w:rFonts w:ascii="Times New Roman"/>
          <w:highlight w:val="none"/>
        </w:rPr>
      </w:pPr>
      <w:r>
        <w:rPr>
          <w:rFonts w:ascii="Times New Roman"/>
          <w:i/>
          <w:iCs/>
          <w:highlight w:val="none"/>
        </w:rPr>
        <w:t>b</w:t>
      </w:r>
      <w:r>
        <w:rPr>
          <w:rFonts w:hint="eastAsia" w:ascii="Times New Roman"/>
          <w:highlight w:val="none"/>
        </w:rPr>
        <w:t>——截距，无单位；</w:t>
      </w:r>
    </w:p>
    <w:p w14:paraId="0AB395AD">
      <w:pPr>
        <w:pStyle w:val="124"/>
        <w:ind w:firstLine="420"/>
        <w:rPr>
          <w:rFonts w:ascii="Times New Roman"/>
          <w:highlight w:val="none"/>
        </w:rPr>
      </w:pPr>
      <w:r>
        <w:rPr>
          <w:rFonts w:ascii="Times New Roman"/>
          <w:i/>
          <w:iCs/>
          <w:highlight w:val="none"/>
        </w:rPr>
        <w:t>t</w:t>
      </w:r>
      <w:r>
        <w:rPr>
          <w:rFonts w:hint="eastAsia" w:ascii="Times New Roman"/>
          <w:highlight w:val="none"/>
        </w:rPr>
        <w:t>——渗透时间，单位为小时</w:t>
      </w:r>
      <w:r>
        <w:rPr>
          <w:rFonts w:ascii="Times New Roman"/>
          <w:highlight w:val="none"/>
        </w:rPr>
        <w:t>（</w:t>
      </w:r>
      <w:r>
        <w:rPr>
          <w:rFonts w:hint="eastAsia" w:ascii="Times New Roman"/>
          <w:highlight w:val="none"/>
        </w:rPr>
        <w:t>h</w:t>
      </w:r>
      <w:r>
        <w:rPr>
          <w:rFonts w:ascii="Times New Roman"/>
          <w:highlight w:val="none"/>
        </w:rPr>
        <w:t>）</w:t>
      </w:r>
      <w:r>
        <w:rPr>
          <w:rFonts w:hint="eastAsia" w:ascii="Times New Roman"/>
          <w:highlight w:val="none"/>
        </w:rPr>
        <w:t>。</w:t>
      </w:r>
    </w:p>
    <w:p w14:paraId="6AE962A5">
      <w:pPr>
        <w:pStyle w:val="124"/>
        <w:ind w:firstLine="420"/>
        <w:rPr>
          <w:rFonts w:ascii="Times New Roman"/>
          <w:highlight w:val="none"/>
        </w:rPr>
      </w:pPr>
      <w:r>
        <w:rPr>
          <w:rFonts w:hint="eastAsia" w:ascii="Times New Roman"/>
          <w:highlight w:val="none"/>
        </w:rPr>
        <w:t>结果保留两位小数</w:t>
      </w:r>
      <w:bookmarkStart w:id="102" w:name="_Toc138831861"/>
      <w:bookmarkStart w:id="103" w:name="_Toc138847372"/>
      <w:r>
        <w:rPr>
          <w:rFonts w:hint="eastAsia" w:ascii="Times New Roman"/>
          <w:highlight w:val="none"/>
        </w:rPr>
        <w:t>。</w:t>
      </w:r>
    </w:p>
    <w:p w14:paraId="2D2DB243">
      <w:pPr>
        <w:pStyle w:val="126"/>
        <w:spacing w:before="158" w:after="158"/>
        <w:rPr>
          <w:rFonts w:ascii="Times New Roman"/>
          <w:szCs w:val="22"/>
          <w:highlight w:val="none"/>
        </w:rPr>
      </w:pPr>
      <w:bookmarkStart w:id="104" w:name="_Toc30712"/>
      <w:r>
        <w:rPr>
          <w:rFonts w:hint="eastAsia" w:ascii="Times New Roman"/>
          <w:szCs w:val="22"/>
          <w:highlight w:val="none"/>
        </w:rPr>
        <w:t>渗透通量</w:t>
      </w:r>
      <w:bookmarkEnd w:id="104"/>
    </w:p>
    <w:p w14:paraId="29FBD394">
      <w:pPr>
        <w:pStyle w:val="124"/>
        <w:ind w:firstLine="420"/>
        <w:rPr>
          <w:rFonts w:ascii="Times New Roman"/>
          <w:highlight w:val="none"/>
        </w:rPr>
      </w:pPr>
      <w:r>
        <w:rPr>
          <w:rFonts w:hint="eastAsia" w:ascii="Times New Roman"/>
          <w:highlight w:val="none"/>
        </w:rPr>
        <w:t>按式（5）计算渗透通量J，以</w:t>
      </w:r>
      <w:r>
        <w:rPr>
          <w:rFonts w:ascii="Times New Roman"/>
          <w:highlight w:val="none"/>
        </w:rPr>
        <w:t>μ</w:t>
      </w:r>
      <w:r>
        <w:rPr>
          <w:rFonts w:hint="eastAsia" w:ascii="Times New Roman"/>
          <w:highlight w:val="none"/>
        </w:rPr>
        <w:t>g</w:t>
      </w:r>
      <w:r>
        <w:rPr>
          <w:rFonts w:ascii="Times New Roman"/>
          <w:highlight w:val="none"/>
        </w:rPr>
        <w:t>/</w:t>
      </w:r>
      <w:r>
        <w:rPr>
          <w:rFonts w:hint="eastAsia" w:ascii="Times New Roman"/>
          <w:highlight w:val="none"/>
        </w:rPr>
        <w:t>cm</w:t>
      </w:r>
      <w:r>
        <w:rPr>
          <w:rFonts w:hint="eastAsia" w:ascii="Times New Roman"/>
          <w:highlight w:val="none"/>
          <w:vertAlign w:val="superscript"/>
        </w:rPr>
        <w:t>2</w:t>
      </w:r>
      <w:r>
        <w:rPr>
          <w:rFonts w:ascii="Times New Roman"/>
          <w:highlight w:val="none"/>
        </w:rPr>
        <w:t>·h</w:t>
      </w:r>
      <w:r>
        <w:rPr>
          <w:rFonts w:hint="eastAsia" w:ascii="Times New Roman"/>
          <w:highlight w:val="none"/>
        </w:rPr>
        <w:t>表示</w:t>
      </w:r>
    </w:p>
    <w:p w14:paraId="6DF341F1">
      <w:pPr>
        <w:pStyle w:val="124"/>
        <w:ind w:firstLine="420"/>
        <w:jc w:val="center"/>
        <w:rPr>
          <w:highlight w:val="none"/>
        </w:rPr>
      </w:pPr>
      <w:r>
        <w:rPr>
          <w:rFonts w:hint="eastAsia"/>
          <w:highlight w:val="none"/>
        </w:rPr>
        <w:t xml:space="preserve">                          </w:t>
      </w:r>
      <w:r>
        <w:rPr>
          <w:rFonts w:hint="eastAsia"/>
          <w:position w:val="-12"/>
          <w:highlight w:val="none"/>
        </w:rPr>
        <w:object>
          <v:shape id="_x0000_i1030" o:spt="75" type="#_x0000_t75" style="height:18pt;width:62pt;" o:ole="t" filled="f" o:preferrelative="t" stroked="f" coordsize="21600,21600">
            <v:path/>
            <v:fill on="f" focussize="0,0"/>
            <v:stroke on="f" joinstyle="miter"/>
            <v:imagedata r:id="rId28" o:title=""/>
            <o:lock v:ext="edit" aspectratio="t"/>
            <w10:wrap type="none"/>
            <w10:anchorlock/>
          </v:shape>
          <o:OLEObject Type="Embed" ProgID="Equation.KSEE3" ShapeID="_x0000_i1030" DrawAspect="Content" ObjectID="_1468075730" r:id="rId27">
            <o:LockedField>false</o:LockedField>
          </o:OLEObject>
        </w:object>
      </w:r>
      <w:r>
        <w:rPr>
          <w:rFonts w:hint="eastAsia"/>
          <w:highlight w:val="none"/>
        </w:rPr>
        <w:t>……………………………………………（5）</w:t>
      </w:r>
    </w:p>
    <w:p w14:paraId="0C9CCC7D">
      <w:pPr>
        <w:pStyle w:val="124"/>
        <w:ind w:firstLine="420"/>
        <w:rPr>
          <w:highlight w:val="none"/>
        </w:rPr>
      </w:pPr>
      <w:r>
        <w:rPr>
          <w:rFonts w:hint="eastAsia"/>
          <w:highlight w:val="none"/>
        </w:rPr>
        <w:t>式中：</w:t>
      </w:r>
    </w:p>
    <w:p w14:paraId="1FF86DE4">
      <w:pPr>
        <w:pStyle w:val="124"/>
        <w:ind w:firstLine="420"/>
        <w:rPr>
          <w:rFonts w:ascii="Times New Roman"/>
          <w:highlight w:val="none"/>
        </w:rPr>
      </w:pPr>
      <w:r>
        <w:rPr>
          <w:rFonts w:hint="eastAsia"/>
          <w:i/>
          <w:iCs/>
          <w:highlight w:val="none"/>
        </w:rPr>
        <w:t>J</w:t>
      </w:r>
      <w:r>
        <w:rPr>
          <w:rFonts w:hint="eastAsia" w:ascii="Times New Roman"/>
          <w:highlight w:val="none"/>
        </w:rPr>
        <w:t>——渗透通量，单位为微克每平方厘米每小时（</w:t>
      </w:r>
      <w:r>
        <w:rPr>
          <w:rFonts w:ascii="Times New Roman"/>
          <w:highlight w:val="none"/>
        </w:rPr>
        <w:t>μ</w:t>
      </w:r>
      <w:r>
        <w:rPr>
          <w:rFonts w:hint="eastAsia" w:ascii="Times New Roman"/>
          <w:highlight w:val="none"/>
        </w:rPr>
        <w:t>g</w:t>
      </w:r>
      <w:r>
        <w:rPr>
          <w:rFonts w:ascii="Times New Roman"/>
          <w:highlight w:val="none"/>
        </w:rPr>
        <w:t>/</w:t>
      </w:r>
      <w:r>
        <w:rPr>
          <w:rFonts w:hint="eastAsia" w:ascii="Times New Roman"/>
          <w:highlight w:val="none"/>
        </w:rPr>
        <w:t>cm</w:t>
      </w:r>
      <w:r>
        <w:rPr>
          <w:rFonts w:hint="eastAsia" w:ascii="Times New Roman"/>
          <w:highlight w:val="none"/>
          <w:vertAlign w:val="superscript"/>
        </w:rPr>
        <w:t>2</w:t>
      </w:r>
      <w:r>
        <w:rPr>
          <w:rFonts w:ascii="Times New Roman"/>
          <w:highlight w:val="none"/>
        </w:rPr>
        <w:t>·h</w:t>
      </w:r>
      <w:r>
        <w:rPr>
          <w:rFonts w:hint="eastAsia" w:ascii="Times New Roman"/>
          <w:highlight w:val="none"/>
        </w:rPr>
        <w:t>）；</w:t>
      </w:r>
    </w:p>
    <w:p w14:paraId="0A1C6AD2">
      <w:pPr>
        <w:pStyle w:val="124"/>
        <w:ind w:firstLine="420"/>
        <w:rPr>
          <w:rFonts w:ascii="Times New Roman"/>
          <w:highlight w:val="none"/>
        </w:rPr>
      </w:pPr>
      <w:r>
        <w:rPr>
          <w:rFonts w:hint="eastAsia" w:ascii="Times New Roman"/>
          <w:i/>
          <w:iCs/>
          <w:highlight w:val="none"/>
        </w:rPr>
        <w:t>Q</w:t>
      </w:r>
      <w:r>
        <w:rPr>
          <w:rFonts w:hint="eastAsia" w:ascii="Times New Roman"/>
          <w:i/>
          <w:iCs/>
          <w:highlight w:val="none"/>
          <w:vertAlign w:val="subscript"/>
        </w:rPr>
        <w:t>n</w:t>
      </w:r>
      <w:r>
        <w:rPr>
          <w:rFonts w:hint="eastAsia" w:ascii="Times New Roman"/>
          <w:highlight w:val="none"/>
        </w:rPr>
        <w:t>——当前时间点的累积渗透量，单位为微克（</w:t>
      </w:r>
      <w:r>
        <w:rPr>
          <w:rFonts w:ascii="Times New Roman"/>
          <w:highlight w:val="none"/>
        </w:rPr>
        <w:t>μ</w:t>
      </w:r>
      <w:r>
        <w:rPr>
          <w:rFonts w:hint="eastAsia" w:ascii="Times New Roman"/>
          <w:highlight w:val="none"/>
        </w:rPr>
        <w:t>g）；</w:t>
      </w:r>
    </w:p>
    <w:p w14:paraId="4DF97FE7">
      <w:pPr>
        <w:pStyle w:val="124"/>
        <w:ind w:firstLine="420"/>
        <w:rPr>
          <w:rFonts w:ascii="Times New Roman"/>
          <w:highlight w:val="none"/>
        </w:rPr>
      </w:pPr>
      <w:r>
        <w:rPr>
          <w:rFonts w:hint="eastAsia" w:ascii="Times New Roman"/>
          <w:i/>
          <w:iCs/>
          <w:highlight w:val="none"/>
        </w:rPr>
        <w:t>S</w:t>
      </w:r>
      <w:r>
        <w:rPr>
          <w:rFonts w:hint="eastAsia" w:ascii="Times New Roman"/>
          <w:highlight w:val="none"/>
        </w:rPr>
        <w:t>——上样区域的面积，单位为平方厘米（cm</w:t>
      </w:r>
      <w:r>
        <w:rPr>
          <w:rFonts w:hint="eastAsia" w:ascii="Times New Roman"/>
          <w:highlight w:val="none"/>
          <w:vertAlign w:val="superscript"/>
        </w:rPr>
        <w:t>2</w:t>
      </w:r>
      <w:r>
        <w:rPr>
          <w:rFonts w:hint="eastAsia" w:ascii="Times New Roman"/>
          <w:highlight w:val="none"/>
        </w:rPr>
        <w:t>）；</w:t>
      </w:r>
    </w:p>
    <w:p w14:paraId="6BA147FB">
      <w:pPr>
        <w:pStyle w:val="124"/>
        <w:ind w:firstLine="420"/>
        <w:rPr>
          <w:rFonts w:ascii="Times New Roman"/>
          <w:highlight w:val="none"/>
        </w:rPr>
      </w:pPr>
      <w:r>
        <w:rPr>
          <w:rFonts w:hint="eastAsia" w:ascii="Times New Roman"/>
          <w:highlight w:val="none"/>
        </w:rPr>
        <w:t>t——渗透时长，单位为小时（h）。</w:t>
      </w:r>
    </w:p>
    <w:p w14:paraId="15A0DBE1">
      <w:pPr>
        <w:pStyle w:val="124"/>
        <w:ind w:firstLine="420"/>
        <w:rPr>
          <w:rFonts w:ascii="Times New Roman"/>
          <w:highlight w:val="none"/>
        </w:rPr>
      </w:pPr>
      <w:r>
        <w:rPr>
          <w:rFonts w:hint="eastAsia" w:ascii="Times New Roman"/>
          <w:highlight w:val="none"/>
        </w:rPr>
        <w:t>结果保留两位小数。</w:t>
      </w:r>
    </w:p>
    <w:p w14:paraId="39FC38B7">
      <w:pPr>
        <w:pStyle w:val="126"/>
        <w:spacing w:before="158" w:after="158"/>
        <w:rPr>
          <w:rFonts w:ascii="Times New Roman"/>
          <w:szCs w:val="22"/>
          <w:highlight w:val="none"/>
        </w:rPr>
      </w:pPr>
      <w:bookmarkStart w:id="105" w:name="_Toc156817231"/>
      <w:bookmarkStart w:id="106" w:name="_Toc159516883"/>
      <w:bookmarkStart w:id="107" w:name="_Toc26736"/>
      <w:r>
        <w:rPr>
          <w:rFonts w:hint="eastAsia" w:ascii="Times New Roman"/>
          <w:szCs w:val="22"/>
          <w:highlight w:val="none"/>
        </w:rPr>
        <w:t>回收率</w:t>
      </w:r>
      <w:bookmarkEnd w:id="105"/>
      <w:bookmarkEnd w:id="106"/>
      <w:bookmarkEnd w:id="107"/>
    </w:p>
    <w:p w14:paraId="24447731">
      <w:pPr>
        <w:pStyle w:val="124"/>
        <w:ind w:firstLine="420"/>
        <w:rPr>
          <w:rFonts w:ascii="Times New Roman"/>
          <w:highlight w:val="none"/>
        </w:rPr>
      </w:pPr>
      <w:r>
        <w:rPr>
          <w:rFonts w:hint="eastAsia" w:ascii="Times New Roman"/>
          <w:highlight w:val="none"/>
        </w:rPr>
        <w:t>按式（6）计算回收率W，以%表示</w:t>
      </w:r>
    </w:p>
    <w:p w14:paraId="611BAB9B">
      <w:pPr>
        <w:pStyle w:val="124"/>
        <w:ind w:firstLine="420"/>
        <w:jc w:val="center"/>
        <w:rPr>
          <w:rFonts w:ascii="Times New Roman"/>
          <w:highlight w:val="none"/>
        </w:rPr>
      </w:pPr>
      <w:r>
        <w:rPr>
          <w:rFonts w:hint="eastAsia"/>
          <w:highlight w:val="none"/>
        </w:rPr>
        <w:t xml:space="preserve">                         </w:t>
      </w:r>
      <w:r>
        <w:rPr>
          <w:highlight w:val="none"/>
        </w:rPr>
        <w:object>
          <v:shape id="_x0000_i1031" o:spt="75" type="#_x0000_t75" style="height:36.75pt;width:80.25pt;" o:ole="t" filled="f" o:preferrelative="t" stroked="f" coordsize="21600,21600">
            <v:path/>
            <v:fill on="f" focussize="0,0"/>
            <v:stroke on="f" joinstyle="miter"/>
            <v:imagedata r:id="rId30" o:title=""/>
            <o:lock v:ext="edit" aspectratio="t"/>
            <w10:wrap type="none"/>
            <w10:anchorlock/>
          </v:shape>
          <o:OLEObject Type="Embed" ProgID="Unknown" ShapeID="_x0000_i1031" DrawAspect="Content" ObjectID="_1468075731" r:id="rId29">
            <o:LockedField>false</o:LockedField>
          </o:OLEObject>
        </w:object>
      </w:r>
      <w:r>
        <w:rPr>
          <w:rFonts w:hint="eastAsia"/>
          <w:highlight w:val="none"/>
        </w:rPr>
        <w:t>………………………………………（6）</w:t>
      </w:r>
    </w:p>
    <w:p w14:paraId="5817CEC5">
      <w:pPr>
        <w:pStyle w:val="124"/>
        <w:ind w:firstLine="420"/>
        <w:rPr>
          <w:rFonts w:ascii="Times New Roman"/>
          <w:highlight w:val="none"/>
        </w:rPr>
      </w:pPr>
      <w:r>
        <w:rPr>
          <w:rFonts w:hint="eastAsia" w:ascii="Times New Roman"/>
          <w:highlight w:val="none"/>
        </w:rPr>
        <w:t>式中：</w:t>
      </w:r>
    </w:p>
    <w:p w14:paraId="376DFD3D">
      <w:pPr>
        <w:pStyle w:val="124"/>
        <w:ind w:firstLine="420"/>
        <w:rPr>
          <w:rFonts w:ascii="Times New Roman"/>
          <w:highlight w:val="none"/>
        </w:rPr>
      </w:pPr>
      <w:r>
        <w:rPr>
          <w:rFonts w:hint="eastAsia" w:ascii="Times New Roman"/>
          <w:position w:val="-14"/>
          <w:highlight w:val="none"/>
        </w:rPr>
        <w:object>
          <v:shape id="_x0000_i1032" o:spt="75" type="#_x0000_t75" style="height:19pt;width:98pt;" o:ole="t" filled="f" o:preferrelative="t" stroked="f" coordsize="21600,21600">
            <v:path/>
            <v:fill on="f" focussize="0,0"/>
            <v:stroke on="f" joinstyle="miter"/>
            <v:imagedata r:id="rId32" o:title=""/>
            <o:lock v:ext="edit" aspectratio="t"/>
            <w10:wrap type="none"/>
            <w10:anchorlock/>
          </v:shape>
          <o:OLEObject Type="Embed" ProgID="Equation.KSEE3" ShapeID="_x0000_i1032" DrawAspect="Content" ObjectID="_1468075732" r:id="rId31">
            <o:LockedField>false</o:LockedField>
          </o:OLEObject>
        </w:object>
      </w:r>
    </w:p>
    <w:p w14:paraId="163105F3">
      <w:pPr>
        <w:pStyle w:val="124"/>
        <w:ind w:firstLine="420"/>
        <w:rPr>
          <w:rFonts w:ascii="Times New Roman"/>
          <w:highlight w:val="none"/>
        </w:rPr>
      </w:pPr>
      <w:r>
        <w:rPr>
          <w:rFonts w:hint="eastAsia" w:ascii="Times New Roman"/>
          <w:i/>
          <w:iCs/>
          <w:highlight w:val="none"/>
        </w:rPr>
        <w:t>Q</w:t>
      </w:r>
      <w:r>
        <w:rPr>
          <w:rFonts w:hint="eastAsia" w:ascii="Times New Roman"/>
          <w:highlight w:val="none"/>
          <w:vertAlign w:val="subscript"/>
        </w:rPr>
        <w:t>原</w:t>
      </w:r>
      <w:r>
        <w:rPr>
          <w:rFonts w:hint="eastAsia" w:ascii="Times New Roman"/>
          <w:highlight w:val="none"/>
        </w:rPr>
        <w:t>——总上样量，单位为微克（</w:t>
      </w:r>
      <w:r>
        <w:rPr>
          <w:rFonts w:ascii="Times New Roman"/>
          <w:highlight w:val="none"/>
        </w:rPr>
        <w:t>μg</w:t>
      </w:r>
      <w:r>
        <w:rPr>
          <w:rFonts w:hint="eastAsia" w:ascii="Times New Roman"/>
          <w:highlight w:val="none"/>
        </w:rPr>
        <w:t>）；</w:t>
      </w:r>
    </w:p>
    <w:p w14:paraId="4C197AE7">
      <w:pPr>
        <w:pStyle w:val="124"/>
        <w:ind w:firstLine="420"/>
        <w:rPr>
          <w:rFonts w:ascii="Times New Roman"/>
          <w:highlight w:val="none"/>
        </w:rPr>
      </w:pPr>
      <w:r>
        <w:rPr>
          <w:rFonts w:hint="eastAsia" w:ascii="Times New Roman"/>
          <w:i/>
          <w:iCs/>
          <w:highlight w:val="none"/>
        </w:rPr>
        <w:t>Q</w:t>
      </w:r>
      <w:r>
        <w:rPr>
          <w:rFonts w:hint="eastAsia" w:ascii="Times New Roman"/>
          <w:highlight w:val="none"/>
          <w:vertAlign w:val="subscript"/>
        </w:rPr>
        <w:t>总</w:t>
      </w:r>
      <w:r>
        <w:rPr>
          <w:rFonts w:hint="eastAsia" w:ascii="Times New Roman"/>
          <w:highlight w:val="none"/>
        </w:rPr>
        <w:t>——受试物总回收量，单位为微克（</w:t>
      </w:r>
      <w:r>
        <w:rPr>
          <w:rFonts w:ascii="Times New Roman"/>
          <w:highlight w:val="none"/>
        </w:rPr>
        <w:t>μg</w:t>
      </w:r>
      <w:r>
        <w:rPr>
          <w:rFonts w:hint="eastAsia" w:ascii="Times New Roman"/>
          <w:highlight w:val="none"/>
        </w:rPr>
        <w:t>）；</w:t>
      </w:r>
    </w:p>
    <w:p w14:paraId="19D21F60">
      <w:pPr>
        <w:pStyle w:val="124"/>
        <w:ind w:firstLine="420"/>
        <w:rPr>
          <w:rFonts w:ascii="Times New Roman"/>
          <w:highlight w:val="none"/>
        </w:rPr>
      </w:pPr>
      <w:r>
        <w:rPr>
          <w:rFonts w:hint="eastAsia" w:ascii="Times New Roman"/>
          <w:i/>
          <w:iCs/>
          <w:highlight w:val="none"/>
        </w:rPr>
        <w:t>W</w:t>
      </w:r>
      <w:r>
        <w:rPr>
          <w:rFonts w:hint="eastAsia" w:ascii="Times New Roman"/>
          <w:highlight w:val="none"/>
        </w:rPr>
        <w:t>——回收率，单位为百分百（%）。</w:t>
      </w:r>
    </w:p>
    <w:p w14:paraId="2712D7AA">
      <w:pPr>
        <w:pStyle w:val="124"/>
        <w:ind w:firstLine="420"/>
        <w:rPr>
          <w:rFonts w:ascii="Times New Roman"/>
          <w:highlight w:val="none"/>
        </w:rPr>
      </w:pPr>
      <w:r>
        <w:rPr>
          <w:rFonts w:hint="eastAsia" w:ascii="Times New Roman"/>
          <w:highlight w:val="none"/>
        </w:rPr>
        <w:t>结果保留两位小数。</w:t>
      </w:r>
    </w:p>
    <w:bookmarkEnd w:id="102"/>
    <w:bookmarkEnd w:id="103"/>
    <w:p w14:paraId="1C409E3D">
      <w:pPr>
        <w:pStyle w:val="125"/>
        <w:spacing w:before="317" w:after="317"/>
        <w:rPr>
          <w:rFonts w:ascii="Times New Roman"/>
          <w:szCs w:val="22"/>
          <w:highlight w:val="none"/>
        </w:rPr>
      </w:pPr>
      <w:bookmarkStart w:id="108" w:name="_Toc32473"/>
      <w:bookmarkStart w:id="109" w:name="_Toc32166"/>
      <w:bookmarkStart w:id="110" w:name="_Toc159516884"/>
      <w:bookmarkStart w:id="111" w:name="_Toc15965"/>
      <w:bookmarkStart w:id="112" w:name="_Toc8222"/>
      <w:bookmarkStart w:id="113" w:name="_Toc143186286"/>
      <w:r>
        <w:rPr>
          <w:rFonts w:hint="eastAsia" w:ascii="Times New Roman"/>
          <w:szCs w:val="22"/>
          <w:highlight w:val="none"/>
        </w:rPr>
        <w:t>试验报告</w:t>
      </w:r>
      <w:bookmarkEnd w:id="108"/>
      <w:bookmarkEnd w:id="109"/>
      <w:bookmarkEnd w:id="110"/>
      <w:bookmarkEnd w:id="111"/>
      <w:bookmarkEnd w:id="112"/>
      <w:bookmarkEnd w:id="113"/>
    </w:p>
    <w:p w14:paraId="3468937B">
      <w:pPr>
        <w:pStyle w:val="124"/>
        <w:ind w:firstLine="420"/>
        <w:rPr>
          <w:rFonts w:ascii="Times New Roman"/>
          <w:highlight w:val="none"/>
        </w:rPr>
      </w:pPr>
      <w:r>
        <w:rPr>
          <w:rFonts w:hint="eastAsia" w:ascii="Times New Roman"/>
          <w:highlight w:val="none"/>
        </w:rPr>
        <w:t>试验报告应对</w:t>
      </w:r>
      <w:r>
        <w:rPr>
          <w:rFonts w:hint="eastAsia" w:ascii="Times New Roman"/>
          <w:highlight w:val="none"/>
          <w:lang w:val="en-US" w:eastAsia="zh-CN"/>
        </w:rPr>
        <w:t>试验</w:t>
      </w:r>
      <w:r>
        <w:rPr>
          <w:rFonts w:hint="eastAsia" w:ascii="Times New Roman"/>
          <w:highlight w:val="none"/>
        </w:rPr>
        <w:t>方案进行详细说明，应包含以下内容：</w:t>
      </w:r>
    </w:p>
    <w:p w14:paraId="34A93E47">
      <w:pPr>
        <w:pStyle w:val="126"/>
        <w:spacing w:before="158" w:after="158"/>
        <w:rPr>
          <w:rFonts w:ascii="Times New Roman"/>
          <w:szCs w:val="22"/>
          <w:highlight w:val="none"/>
        </w:rPr>
      </w:pPr>
      <w:bookmarkStart w:id="114" w:name="_Toc23109"/>
      <w:r>
        <w:rPr>
          <w:rFonts w:hint="eastAsia" w:ascii="Times New Roman"/>
          <w:szCs w:val="22"/>
          <w:highlight w:val="none"/>
        </w:rPr>
        <w:t>受试物</w:t>
      </w:r>
      <w:bookmarkEnd w:id="114"/>
    </w:p>
    <w:p w14:paraId="6A7D8A95">
      <w:pPr>
        <w:pStyle w:val="124"/>
        <w:numPr>
          <w:ilvl w:val="0"/>
          <w:numId w:val="15"/>
        </w:numPr>
        <w:ind w:firstLine="420" w:firstLineChars="0"/>
        <w:rPr>
          <w:highlight w:val="none"/>
        </w:rPr>
      </w:pPr>
      <w:r>
        <w:rPr>
          <w:rFonts w:hint="eastAsia"/>
          <w:highlight w:val="none"/>
        </w:rPr>
        <w:t>受试物产品名称、生产批号、产品剂型及制备方法等信息；</w:t>
      </w:r>
    </w:p>
    <w:p w14:paraId="00E822F9">
      <w:pPr>
        <w:pStyle w:val="124"/>
        <w:numPr>
          <w:ilvl w:val="0"/>
          <w:numId w:val="15"/>
        </w:numPr>
        <w:ind w:firstLine="420" w:firstLineChars="0"/>
        <w:rPr>
          <w:highlight w:val="none"/>
        </w:rPr>
      </w:pPr>
      <w:r>
        <w:rPr>
          <w:rFonts w:hint="eastAsia"/>
          <w:highlight w:val="none"/>
        </w:rPr>
        <w:t>受试物中测试受试物含量、名称以及相关理化性质等信息。</w:t>
      </w:r>
    </w:p>
    <w:p w14:paraId="550DC899">
      <w:pPr>
        <w:pStyle w:val="126"/>
        <w:spacing w:before="158" w:after="158"/>
        <w:rPr>
          <w:rFonts w:ascii="Times New Roman"/>
          <w:szCs w:val="22"/>
          <w:highlight w:val="none"/>
        </w:rPr>
      </w:pPr>
      <w:bookmarkStart w:id="115" w:name="_Toc21226"/>
      <w:r>
        <w:rPr>
          <w:rFonts w:hint="eastAsia" w:ascii="Times New Roman"/>
          <w:szCs w:val="22"/>
          <w:highlight w:val="none"/>
        </w:rPr>
        <w:t>试验方法</w:t>
      </w:r>
      <w:bookmarkEnd w:id="115"/>
    </w:p>
    <w:p w14:paraId="6AE283CD">
      <w:pPr>
        <w:pStyle w:val="124"/>
        <w:numPr>
          <w:ilvl w:val="0"/>
          <w:numId w:val="16"/>
        </w:numPr>
        <w:ind w:firstLine="420"/>
        <w:rPr>
          <w:highlight w:val="none"/>
        </w:rPr>
      </w:pPr>
      <w:r>
        <w:rPr>
          <w:rFonts w:hint="eastAsia"/>
          <w:highlight w:val="none"/>
        </w:rPr>
        <w:t>皮肤来源、制备方法、储存条件以及皮肤完整性等信息；</w:t>
      </w:r>
    </w:p>
    <w:p w14:paraId="54F1C4AC">
      <w:pPr>
        <w:pStyle w:val="124"/>
        <w:numPr>
          <w:ilvl w:val="0"/>
          <w:numId w:val="16"/>
        </w:numPr>
        <w:ind w:firstLine="420"/>
        <w:rPr>
          <w:highlight w:val="none"/>
        </w:rPr>
      </w:pPr>
      <w:r>
        <w:rPr>
          <w:rFonts w:hint="eastAsia"/>
          <w:highlight w:val="none"/>
        </w:rPr>
        <w:t>扩散池的类型、接收液的配制、受试物在接收液中溶解度和稳定性、转子转速、实验温度等信息；</w:t>
      </w:r>
    </w:p>
    <w:p w14:paraId="585CC13D">
      <w:pPr>
        <w:pStyle w:val="124"/>
        <w:numPr>
          <w:ilvl w:val="0"/>
          <w:numId w:val="16"/>
        </w:numPr>
        <w:ind w:firstLine="420"/>
        <w:rPr>
          <w:highlight w:val="none"/>
        </w:rPr>
      </w:pPr>
      <w:r>
        <w:rPr>
          <w:rFonts w:hint="eastAsia"/>
          <w:highlight w:val="none"/>
        </w:rPr>
        <w:t>试验持续时间及取样时间点等信息；</w:t>
      </w:r>
    </w:p>
    <w:p w14:paraId="65C76A96">
      <w:pPr>
        <w:pStyle w:val="124"/>
        <w:numPr>
          <w:ilvl w:val="0"/>
          <w:numId w:val="16"/>
        </w:numPr>
        <w:ind w:firstLine="420"/>
        <w:rPr>
          <w:highlight w:val="none"/>
        </w:rPr>
      </w:pPr>
      <w:r>
        <w:rPr>
          <w:rFonts w:hint="eastAsia"/>
          <w:highlight w:val="none"/>
        </w:rPr>
        <w:t>使用的</w:t>
      </w:r>
      <w:r>
        <w:rPr>
          <w:rFonts w:hint="eastAsia"/>
          <w:highlight w:val="none"/>
          <w:lang w:eastAsia="zh-CN"/>
        </w:rPr>
        <w:t>受试物</w:t>
      </w:r>
      <w:r>
        <w:rPr>
          <w:rFonts w:hint="eastAsia"/>
          <w:highlight w:val="none"/>
        </w:rPr>
        <w:t>的量；</w:t>
      </w:r>
    </w:p>
    <w:p w14:paraId="7BD8BE46">
      <w:pPr>
        <w:pStyle w:val="124"/>
        <w:numPr>
          <w:ilvl w:val="0"/>
          <w:numId w:val="16"/>
        </w:numPr>
        <w:ind w:firstLine="420"/>
        <w:rPr>
          <w:highlight w:val="none"/>
        </w:rPr>
      </w:pPr>
      <w:r>
        <w:rPr>
          <w:rFonts w:hint="eastAsia"/>
          <w:highlight w:val="none"/>
        </w:rPr>
        <w:t>试验结束后对皮肤的处理方法（包括冲洗、胶带剥离与提取等）以及对器具冲洗操作等信息；</w:t>
      </w:r>
    </w:p>
    <w:p w14:paraId="71819EC7">
      <w:pPr>
        <w:pStyle w:val="124"/>
        <w:numPr>
          <w:ilvl w:val="0"/>
          <w:numId w:val="16"/>
        </w:numPr>
        <w:ind w:firstLine="420"/>
        <w:rPr>
          <w:highlight w:val="none"/>
        </w:rPr>
      </w:pPr>
      <w:r>
        <w:rPr>
          <w:rFonts w:hint="eastAsia"/>
          <w:highlight w:val="none"/>
        </w:rPr>
        <w:t>检测方法、方法检出限等信息；</w:t>
      </w:r>
    </w:p>
    <w:p w14:paraId="1FBA0971">
      <w:pPr>
        <w:pStyle w:val="126"/>
        <w:spacing w:before="158" w:after="158"/>
        <w:rPr>
          <w:rFonts w:ascii="Times New Roman"/>
          <w:szCs w:val="22"/>
          <w:highlight w:val="none"/>
        </w:rPr>
      </w:pPr>
      <w:bookmarkStart w:id="116" w:name="_Toc21412"/>
      <w:r>
        <w:rPr>
          <w:rFonts w:hint="eastAsia" w:ascii="Times New Roman"/>
          <w:szCs w:val="22"/>
          <w:highlight w:val="none"/>
        </w:rPr>
        <w:t>结果</w:t>
      </w:r>
      <w:bookmarkEnd w:id="116"/>
    </w:p>
    <w:p w14:paraId="3F96EB78">
      <w:pPr>
        <w:pStyle w:val="124"/>
        <w:numPr>
          <w:ilvl w:val="0"/>
          <w:numId w:val="17"/>
        </w:numPr>
        <w:ind w:firstLine="420"/>
        <w:rPr>
          <w:highlight w:val="none"/>
        </w:rPr>
      </w:pPr>
      <w:r>
        <w:rPr>
          <w:rFonts w:hint="eastAsia"/>
          <w:highlight w:val="none"/>
        </w:rPr>
        <w:t>受试物在各部分测试结果（接收液中、胶带中、皮肤冲洗和给样池清洗、活性皮肤中）；</w:t>
      </w:r>
    </w:p>
    <w:p w14:paraId="5A44F102">
      <w:pPr>
        <w:pStyle w:val="124"/>
        <w:numPr>
          <w:ilvl w:val="0"/>
          <w:numId w:val="17"/>
        </w:numPr>
        <w:ind w:firstLine="420"/>
        <w:rPr>
          <w:highlight w:val="none"/>
        </w:rPr>
      </w:pPr>
      <w:r>
        <w:rPr>
          <w:rFonts w:hint="eastAsia"/>
          <w:highlight w:val="none"/>
        </w:rPr>
        <w:t>各扩散池受试物回收率；</w:t>
      </w:r>
    </w:p>
    <w:p w14:paraId="01B10D62">
      <w:pPr>
        <w:pStyle w:val="124"/>
        <w:numPr>
          <w:ilvl w:val="0"/>
          <w:numId w:val="17"/>
        </w:numPr>
        <w:ind w:firstLine="420"/>
        <w:rPr>
          <w:highlight w:val="none"/>
        </w:rPr>
      </w:pPr>
      <w:r>
        <w:rPr>
          <w:rFonts w:hint="eastAsia"/>
          <w:highlight w:val="none"/>
        </w:rPr>
        <w:t>经皮吸收数据（渗透量、渗透率、渗透速率等）；</w:t>
      </w:r>
    </w:p>
    <w:p w14:paraId="5CCBDBAB">
      <w:pPr>
        <w:pStyle w:val="126"/>
        <w:spacing w:before="158" w:after="158"/>
        <w:rPr>
          <w:rFonts w:ascii="Times New Roman"/>
          <w:szCs w:val="22"/>
          <w:highlight w:val="none"/>
        </w:rPr>
      </w:pPr>
      <w:bookmarkStart w:id="117" w:name="_Toc12709"/>
      <w:r>
        <w:rPr>
          <w:rFonts w:hint="eastAsia" w:ascii="Times New Roman"/>
          <w:szCs w:val="22"/>
          <w:highlight w:val="none"/>
        </w:rPr>
        <w:t>结论</w:t>
      </w:r>
      <w:bookmarkEnd w:id="117"/>
    </w:p>
    <w:p w14:paraId="2F0DD307">
      <w:pPr>
        <w:pStyle w:val="124"/>
        <w:ind w:firstLine="420"/>
        <w:rPr>
          <w:rFonts w:hint="eastAsia" w:ascii="Times New Roman"/>
          <w:szCs w:val="22"/>
          <w:highlight w:val="none"/>
        </w:rPr>
      </w:pPr>
      <w:r>
        <w:rPr>
          <w:rFonts w:hint="eastAsia" w:ascii="Times New Roman"/>
          <w:szCs w:val="22"/>
          <w:highlight w:val="none"/>
        </w:rPr>
        <w:t>应包含年度内实验室质控结果信息。</w:t>
      </w:r>
    </w:p>
    <w:p w14:paraId="2238D94F">
      <w:pPr>
        <w:rPr>
          <w:rFonts w:hint="eastAsia" w:ascii="Times New Roman"/>
          <w:szCs w:val="22"/>
          <w:highlight w:val="none"/>
        </w:rPr>
      </w:pPr>
      <w:r>
        <w:rPr>
          <w:rFonts w:hint="eastAsia" w:ascii="Times New Roman"/>
          <w:szCs w:val="22"/>
          <w:highlight w:val="none"/>
        </w:rPr>
        <w:br w:type="page"/>
      </w:r>
    </w:p>
    <w:p w14:paraId="2DDEF506">
      <w:pPr>
        <w:pStyle w:val="17"/>
        <w:tabs>
          <w:tab w:val="right" w:leader="dot" w:pos="9354"/>
        </w:tabs>
        <w:jc w:val="center"/>
        <w:rPr>
          <w:rFonts w:ascii="Times New Roman" w:hAnsi="Times New Roman"/>
          <w:b/>
          <w:bCs/>
          <w:sz w:val="28"/>
          <w:szCs w:val="28"/>
          <w:highlight w:val="none"/>
        </w:rPr>
      </w:pPr>
      <w:r>
        <w:rPr>
          <w:rFonts w:hint="eastAsia" w:ascii="Times New Roman" w:hAnsi="Times New Roman"/>
          <w:b/>
          <w:bCs/>
          <w:sz w:val="28"/>
          <w:szCs w:val="28"/>
          <w:highlight w:val="none"/>
        </w:rPr>
        <w:t>参考文献</w:t>
      </w:r>
    </w:p>
    <w:p w14:paraId="257AFC6C">
      <w:pPr>
        <w:pStyle w:val="124"/>
        <w:ind w:firstLine="420"/>
        <w:outlineLvl w:val="1"/>
        <w:rPr>
          <w:rFonts w:ascii="Times New Roman"/>
          <w:highlight w:val="none"/>
        </w:rPr>
      </w:pPr>
      <w:r>
        <w:rPr>
          <w:rFonts w:ascii="Times New Roman" w:hAnsi="Times New Roman"/>
          <w:highlight w:val="none"/>
        </w:rPr>
        <w:t>[1]</w:t>
      </w:r>
      <w:r>
        <w:rPr>
          <w:rFonts w:hint="eastAsia" w:ascii="Times New Roman"/>
          <w:highlight w:val="none"/>
          <w:lang w:val="en-US" w:eastAsia="zh-CN"/>
        </w:rPr>
        <w:t xml:space="preserve"> </w:t>
      </w:r>
      <w:r>
        <w:rPr>
          <w:rFonts w:hint="eastAsia" w:ascii="Times New Roman"/>
          <w:highlight w:val="none"/>
        </w:rPr>
        <w:t>OECD (Organisation for Economic Co-operation and Development), 2004b. Guideline for the testing of chemicals (No. 428): Skin absorption: in vitro method. Adopted 13 April 2004, OECD, Paris, 8 pp.</w:t>
      </w:r>
    </w:p>
    <w:p w14:paraId="60E00CF5">
      <w:pPr>
        <w:pStyle w:val="124"/>
        <w:ind w:firstLine="420"/>
        <w:rPr>
          <w:rFonts w:ascii="Times New Roman"/>
          <w:highlight w:val="none"/>
        </w:rPr>
      </w:pPr>
      <w:r>
        <w:rPr>
          <w:rFonts w:ascii="Times New Roman" w:hAnsi="Times New Roman"/>
          <w:highlight w:val="none"/>
        </w:rPr>
        <w:t>[</w:t>
      </w:r>
      <w:r>
        <w:rPr>
          <w:rFonts w:hint="eastAsia" w:ascii="Times New Roman"/>
          <w:highlight w:val="none"/>
          <w:lang w:val="en-US" w:eastAsia="zh-CN"/>
        </w:rPr>
        <w:t>2</w:t>
      </w:r>
      <w:r>
        <w:rPr>
          <w:rFonts w:ascii="Times New Roman" w:hAnsi="Times New Roman"/>
          <w:highlight w:val="none"/>
        </w:rPr>
        <w:t>]</w:t>
      </w:r>
      <w:r>
        <w:rPr>
          <w:rFonts w:hint="eastAsia" w:ascii="Times New Roman"/>
          <w:highlight w:val="none"/>
          <w:lang w:val="en-US" w:eastAsia="zh-CN"/>
        </w:rPr>
        <w:t xml:space="preserve"> </w:t>
      </w:r>
      <w:r>
        <w:rPr>
          <w:rFonts w:hint="eastAsia" w:ascii="Times New Roman"/>
          <w:highlight w:val="none"/>
        </w:rPr>
        <w:t>OECD (Organisation for Economic Co-operation and Development), 2004c. Guidance document for the conduct of skin absorption studies. OECD Series on Testing and Assessment, No. 28. OECD, Paris, 31 pp.</w:t>
      </w:r>
    </w:p>
    <w:p w14:paraId="5AEA8850">
      <w:pPr>
        <w:pStyle w:val="124"/>
        <w:ind w:firstLine="420"/>
        <w:rPr>
          <w:rFonts w:ascii="Times New Roman"/>
          <w:highlight w:val="none"/>
        </w:rPr>
      </w:pPr>
      <w:r>
        <w:rPr>
          <w:rFonts w:ascii="Times New Roman" w:hAnsi="Times New Roman"/>
          <w:highlight w:val="none"/>
        </w:rPr>
        <w:t>[</w:t>
      </w:r>
      <w:r>
        <w:rPr>
          <w:rFonts w:hint="eastAsia" w:ascii="Times New Roman"/>
          <w:highlight w:val="none"/>
          <w:lang w:val="en-US" w:eastAsia="zh-CN"/>
        </w:rPr>
        <w:t>3</w:t>
      </w:r>
      <w:r>
        <w:rPr>
          <w:rFonts w:ascii="Times New Roman" w:hAnsi="Times New Roman"/>
          <w:highlight w:val="none"/>
        </w:rPr>
        <w:t>]</w:t>
      </w:r>
      <w:r>
        <w:rPr>
          <w:rFonts w:hint="eastAsia" w:ascii="Times New Roman"/>
          <w:highlight w:val="none"/>
          <w:lang w:val="en-US" w:eastAsia="zh-CN"/>
        </w:rPr>
        <w:t xml:space="preserve"> </w:t>
      </w:r>
      <w:r>
        <w:rPr>
          <w:rFonts w:hint="eastAsia" w:ascii="Times New Roman"/>
          <w:highlight w:val="none"/>
        </w:rPr>
        <w:t xml:space="preserve">SCCS (Scientific Committee on Consumer Safety), 2010. Basic criteria for the in vitro assess -ment of dermal absorption of cosmetic ingredients. Adopted 22 June 2010, 14 pp. </w:t>
      </w:r>
    </w:p>
    <w:p w14:paraId="48E73991">
      <w:pPr>
        <w:pStyle w:val="124"/>
        <w:ind w:firstLine="420"/>
        <w:rPr>
          <w:rFonts w:hint="eastAsia" w:ascii="Times New Roman"/>
          <w:szCs w:val="22"/>
          <w:highlight w:val="none"/>
        </w:rPr>
      </w:pPr>
      <w:r>
        <w:rPr>
          <w:rFonts w:ascii="Times New Roman" w:hAnsi="Times New Roman"/>
          <w:highlight w:val="none"/>
        </w:rPr>
        <w:t>[</w:t>
      </w:r>
      <w:r>
        <w:rPr>
          <w:rFonts w:hint="eastAsia" w:ascii="Times New Roman"/>
          <w:highlight w:val="none"/>
          <w:lang w:val="en-US" w:eastAsia="zh-CN"/>
        </w:rPr>
        <w:t>4</w:t>
      </w:r>
      <w:r>
        <w:rPr>
          <w:rFonts w:ascii="Times New Roman" w:hAnsi="Times New Roman"/>
          <w:highlight w:val="none"/>
        </w:rPr>
        <w:t>]</w:t>
      </w:r>
      <w:r>
        <w:rPr>
          <w:rFonts w:hint="eastAsia" w:ascii="Times New Roman"/>
          <w:highlight w:val="none"/>
          <w:lang w:val="en-US" w:eastAsia="zh-CN"/>
        </w:rPr>
        <w:t xml:space="preserve"> </w:t>
      </w:r>
      <w:r>
        <w:rPr>
          <w:rFonts w:hint="eastAsia" w:ascii="Times New Roman"/>
          <w:highlight w:val="none"/>
        </w:rPr>
        <w:t>EFSA (European Food Safety Authority), 2017.Guidance on dermal absorption. Adopted 24 May 2017,60 PP.</w:t>
      </w:r>
    </w:p>
    <w:p w14:paraId="16B03A4C">
      <w:pPr>
        <w:pStyle w:val="124"/>
        <w:ind w:firstLine="0" w:firstLineChars="0"/>
        <w:jc w:val="center"/>
        <w:rPr>
          <w:rFonts w:ascii="Times New Roman"/>
          <w:highlight w:val="none"/>
        </w:rPr>
      </w:pPr>
      <w:bookmarkStart w:id="118" w:name="BookMark8"/>
      <w:r>
        <w:rPr>
          <w:rFonts w:ascii="Times New Roman"/>
          <w:highlight w:val="none"/>
        </w:rPr>
        <w:drawing>
          <wp:inline distT="0" distB="0" distL="114300" distR="114300">
            <wp:extent cx="1485900" cy="317500"/>
            <wp:effectExtent l="0" t="0" r="0" b="6350"/>
            <wp:docPr id="21" name="图片 20"/>
            <wp:cNvGraphicFramePr/>
            <a:graphic xmlns:a="http://schemas.openxmlformats.org/drawingml/2006/main">
              <a:graphicData uri="http://schemas.openxmlformats.org/drawingml/2006/picture">
                <pic:pic xmlns:pic="http://schemas.openxmlformats.org/drawingml/2006/picture">
                  <pic:nvPicPr>
                    <pic:cNvPr id="21" name="图片 20"/>
                    <pic:cNvPicPr/>
                  </pic:nvPicPr>
                  <pic:blipFill>
                    <a:blip r:embed="rId33"/>
                    <a:stretch>
                      <a:fillRect/>
                    </a:stretch>
                  </pic:blipFill>
                  <pic:spPr>
                    <a:xfrm>
                      <a:off x="0" y="0"/>
                      <a:ext cx="1485900" cy="317500"/>
                    </a:xfrm>
                    <a:prstGeom prst="rect">
                      <a:avLst/>
                    </a:prstGeom>
                    <a:noFill/>
                    <a:ln>
                      <a:noFill/>
                    </a:ln>
                  </pic:spPr>
                </pic:pic>
              </a:graphicData>
            </a:graphic>
          </wp:inline>
        </w:drawing>
      </w:r>
      <w:bookmarkEnd w:id="118"/>
    </w:p>
    <w:p w14:paraId="68E7601E">
      <w:pPr>
        <w:pStyle w:val="58"/>
        <w:ind w:firstLine="420"/>
        <w:jc w:val="center"/>
        <w:rPr>
          <w:highlight w:val="none"/>
        </w:rPr>
      </w:pPr>
    </w:p>
    <w:sectPr>
      <w:headerReference r:id="rId11" w:type="default"/>
      <w:footerReference r:id="rId13" w:type="default"/>
      <w:headerReference r:id="rId12" w:type="even"/>
      <w:footerReference r:id="rId14" w:type="even"/>
      <w:pgSz w:w="11907" w:h="16839"/>
      <w:pgMar w:top="1417" w:right="1134" w:bottom="1134" w:left="1418" w:header="1418" w:footer="850" w:gutter="0"/>
      <w:pgNumType w:start="1"/>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SSK--GBK1-0">
    <w:altName w:val="Cambria"/>
    <w:panose1 w:val="00000000000000000000"/>
    <w:charset w:val="00"/>
    <w:family w:val="roman"/>
    <w:pitch w:val="default"/>
    <w:sig w:usb0="00000000" w:usb1="00000000" w:usb2="00000000"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BD465">
    <w:pPr>
      <w:pStyle w:val="24"/>
      <w:ind w:right="18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84F44">
    <w:pPr>
      <w:pStyle w:val="24"/>
      <w:ind w:right="180"/>
      <w:rPr>
        <w:rFonts w:hint="eastAsia"/>
      </w:rPr>
    </w:pPr>
    <w: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0EA732">
                          <w:pPr>
                            <w:pStyle w:val="24"/>
                            <w:ind w:right="180"/>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xmuc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WxmuctAgAAVwQAAA4AAAAAAAAAAQAgAAAAHwEAAGRycy9lMm9Eb2MueG1sUEsFBgAAAAAG&#10;AAYAWQEAAL4FAAAAAA==&#10;">
              <v:fill on="f" focussize="0,0"/>
              <v:stroke on="f" weight="0.5pt"/>
              <v:imagedata o:title=""/>
              <o:lock v:ext="edit" aspectratio="f"/>
              <v:textbox inset="0mm,0mm,0mm,0mm" style="mso-fit-shape-to-text:t;">
                <w:txbxContent>
                  <w:p w14:paraId="500EA732">
                    <w:pPr>
                      <w:pStyle w:val="24"/>
                      <w:ind w:right="180"/>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1FE47">
    <w:pPr>
      <w:pStyle w:val="103"/>
      <w:rPr>
        <w:rStyle w:val="34"/>
      </w:rPr>
    </w:pPr>
    <w: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2B6392">
                          <w:pPr>
                            <w:pStyle w:val="24"/>
                            <w:ind w:right="180"/>
                            <w:rPr>
                              <w:rFonts w:hint="eastAsia"/>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38yactAgAAV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38yactAgAAVwQAAA4AAAAAAAAAAQAgAAAAHwEAAGRycy9lMm9Eb2MueG1sUEsFBgAAAAAG&#10;AAYAWQEAAL4FAAAAAA==&#10;">
              <v:fill on="f" focussize="0,0"/>
              <v:stroke on="f" weight="0.5pt"/>
              <v:imagedata o:title=""/>
              <o:lock v:ext="edit" aspectratio="f"/>
              <v:textbox inset="0mm,0mm,0mm,0mm" style="mso-fit-shape-to-text:t;">
                <w:txbxContent>
                  <w:p w14:paraId="062B6392">
                    <w:pPr>
                      <w:pStyle w:val="24"/>
                      <w:ind w:right="180"/>
                      <w:rPr>
                        <w:rFonts w:hint="eastAsia"/>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840CB">
    <w:pPr>
      <w:pStyle w:val="115"/>
      <w:rPr>
        <w:rStyle w:val="34"/>
      </w:rPr>
    </w:pPr>
    <w: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9D027D">
                          <w:pPr>
                            <w:pStyle w:val="24"/>
                            <w:ind w:right="180"/>
                            <w:rPr>
                              <w:rFonts w:hint="eastAsia"/>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aAL0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p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QaAL0tAgAAVwQAAA4AAAAAAAAAAQAgAAAAHwEAAGRycy9lMm9Eb2MueG1sUEsFBgAAAAAG&#10;AAYAWQEAAL4FAAAAAA==&#10;">
              <v:fill on="f" focussize="0,0"/>
              <v:stroke on="f" weight="0.5pt"/>
              <v:imagedata o:title=""/>
              <o:lock v:ext="edit" aspectratio="f"/>
              <v:textbox inset="0mm,0mm,0mm,0mm" style="mso-fit-shape-to-text:t;">
                <w:txbxContent>
                  <w:p w14:paraId="309D027D">
                    <w:pPr>
                      <w:pStyle w:val="24"/>
                      <w:ind w:right="180"/>
                      <w:rPr>
                        <w:rFonts w:hint="eastAsia"/>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BCECA">
    <w:pPr>
      <w:pStyle w:val="103"/>
      <w:rPr>
        <w:rStyle w:val="34"/>
      </w:rPr>
    </w:pPr>
    <w: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10030D">
                          <w:pPr>
                            <w:pStyle w:val="24"/>
                            <w:ind w:right="180"/>
                            <w:rPr>
                              <w:rFonts w:hint="eastAsia"/>
                            </w:rPr>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14:paraId="1310030D">
                    <w:pPr>
                      <w:pStyle w:val="24"/>
                      <w:ind w:right="180"/>
                      <w:rPr>
                        <w:rFonts w:hint="eastAsia"/>
                      </w:rPr>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D69A8">
    <w:pPr>
      <w:pStyle w:val="72"/>
      <w:jc w:val="both"/>
    </w:pPr>
    <w:r>
      <w:rPr>
        <w:rFonts w:hint="eastAsia" w:ascii="黑体" w:hAnsi="黑体" w:eastAsia="黑体"/>
      </w:rPr>
      <w:t>T/CAFFCI XX—2024</w:t>
    </w:r>
    <w:r>
      <w:rPr>
        <w:rFonts w:hint="eastAsia"/>
      </w:rPr>
      <w:tab/>
    </w: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626A5">
    <w:pPr>
      <w:pStyle w:val="116"/>
    </w:pPr>
    <w:r>
      <mc:AlternateContent>
        <mc:Choice Requires="wps">
          <w:drawing>
            <wp:anchor distT="0" distB="0" distL="114300" distR="114300" simplePos="0" relativeHeight="251674624" behindDoc="0" locked="0" layoutInCell="1" allowOverlap="1">
              <wp:simplePos x="0" y="0"/>
              <wp:positionH relativeFrom="margin">
                <wp:posOffset>0</wp:posOffset>
              </wp:positionH>
              <wp:positionV relativeFrom="paragraph">
                <wp:posOffset>0</wp:posOffset>
              </wp:positionV>
              <wp:extent cx="1443990" cy="17907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443990" cy="1790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5C1B8A">
                          <w:pPr>
                            <w:pStyle w:val="72"/>
                            <w:jc w:val="both"/>
                            <w:rPr>
                              <w:rFonts w:hint="eastAsia" w:ascii="黑体" w:hAnsi="黑体" w:eastAsia="黑体"/>
                            </w:rPr>
                          </w:pPr>
                          <w:r>
                            <w:rPr>
                              <w:rFonts w:hint="eastAsia" w:ascii="黑体" w:hAnsi="黑体" w:eastAsia="黑体"/>
                            </w:rPr>
                            <w:t>T/CAFFCI XX—2024</w:t>
                          </w:r>
                        </w:p>
                        <w:p w14:paraId="797F9A41">
                          <w:pPr>
                            <w:pStyle w:val="25"/>
                            <w:rPr>
                              <w:rFonts w:hint="eastAsia"/>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0pt;margin-top:0pt;height:14.1pt;width:113.7pt;mso-position-horizontal-relative:margin;z-index:251674624;mso-width-relative:page;mso-height-relative:page;" filled="f" stroked="f" coordsize="21600,21600" o:gfxdata="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xRzisNMAAAAEAQAADwAAAAAAAAABACAAAAAiAAAAZHJzL2Rvd25yZXYueG1sUEsB&#10;AhQAFAAAAAgAh07iQGKe+KUzAgAAWAQAAA4AAAAAAAAAAQAgAAAAIgEAAGRycy9lMm9Eb2MueG1s&#10;UEsFBgAAAAAGAAYAWQEAAMcFAAAAAA==&#10;">
              <v:fill on="f" focussize="0,0"/>
              <v:stroke on="f" weight="0.5pt"/>
              <v:imagedata o:title=""/>
              <o:lock v:ext="edit" aspectratio="f"/>
              <v:textbox inset="0mm,0mm,0mm,0mm">
                <w:txbxContent>
                  <w:p w14:paraId="2D5C1B8A">
                    <w:pPr>
                      <w:pStyle w:val="72"/>
                      <w:jc w:val="both"/>
                      <w:rPr>
                        <w:rFonts w:hint="eastAsia" w:ascii="黑体" w:hAnsi="黑体" w:eastAsia="黑体"/>
                      </w:rPr>
                    </w:pPr>
                    <w:r>
                      <w:rPr>
                        <w:rFonts w:hint="eastAsia" w:ascii="黑体" w:hAnsi="黑体" w:eastAsia="黑体"/>
                      </w:rPr>
                      <w:t>T/CAFFCI XX—2024</w:t>
                    </w:r>
                  </w:p>
                  <w:p w14:paraId="797F9A41">
                    <w:pPr>
                      <w:pStyle w:val="25"/>
                      <w:rPr>
                        <w:rFonts w:hint="eastAsia"/>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B9939">
    <w:pPr>
      <w:pStyle w:val="25"/>
      <w:pBdr>
        <w:bottom w:val="none" w:color="auto" w:sz="0" w:space="1"/>
      </w:pBdr>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58514">
    <w:pPr>
      <w:pStyle w:val="72"/>
      <w:tabs>
        <w:tab w:val="right" w:pos="9355"/>
      </w:tabs>
      <w:rPr>
        <w:rFonts w:hint="eastAsia" w:eastAsia="黑体"/>
        <w:lang w:eastAsia="zh-CN"/>
      </w:rPr>
    </w:pPr>
    <w:r>
      <w:rPr>
        <w:rFonts w:hint="eastAsia"/>
      </w:rPr>
      <w:tab/>
    </w:r>
    <w:r>
      <w:rPr>
        <w:rFonts w:hint="eastAsia" w:ascii="黑体" w:hAnsi="黑体" w:eastAsia="黑体"/>
      </w:rPr>
      <w:t>T/CAFFCI XX—202</w:t>
    </w:r>
    <w:r>
      <w:rPr>
        <w:rFonts w:hint="eastAsia" w:ascii="黑体" w:hAnsi="黑体" w:eastAsia="黑体"/>
        <w:lang w:val="en-US" w:eastAsia="zh-CN"/>
      </w:rPr>
      <w:t>5</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F367A">
    <w:pPr>
      <w:pStyle w:val="116"/>
    </w:pPr>
    <w:r>
      <mc:AlternateContent>
        <mc:Choice Requires="wps">
          <w:drawing>
            <wp:anchor distT="0" distB="0" distL="114300" distR="114300" simplePos="0" relativeHeight="251675648" behindDoc="0" locked="0" layoutInCell="1" allowOverlap="1">
              <wp:simplePos x="0" y="0"/>
              <wp:positionH relativeFrom="margin">
                <wp:posOffset>0</wp:posOffset>
              </wp:positionH>
              <wp:positionV relativeFrom="paragraph">
                <wp:posOffset>0</wp:posOffset>
              </wp:positionV>
              <wp:extent cx="1443990" cy="17907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443990" cy="1790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CDF480">
                          <w:pPr>
                            <w:pStyle w:val="72"/>
                            <w:jc w:val="both"/>
                            <w:rPr>
                              <w:rFonts w:hint="eastAsia" w:ascii="黑体" w:hAnsi="黑体" w:eastAsia="黑体"/>
                            </w:rPr>
                          </w:pPr>
                          <w:r>
                            <w:rPr>
                              <w:rFonts w:hint="eastAsia" w:ascii="黑体" w:hAnsi="黑体" w:eastAsia="黑体"/>
                            </w:rPr>
                            <w:t>T/CAFFCI XX—2024</w:t>
                          </w:r>
                        </w:p>
                        <w:p w14:paraId="4CEC3E04">
                          <w:pPr>
                            <w:pStyle w:val="25"/>
                            <w:rPr>
                              <w:rFonts w:hint="eastAsia"/>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0pt;margin-top:0pt;height:14.1pt;width:113.7pt;mso-position-horizontal-relative:margin;z-index:251675648;mso-width-relative:page;mso-height-relative:page;" filled="f" stroked="f" coordsize="21600,21600" o:gfxdata="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xRzisNMAAAAEAQAADwAAAAAAAAABACAAAAAiAAAAZHJzL2Rvd25yZXYueG1sUEsB&#10;AhQAFAAAAAgAh07iQNgL4BMzAgAAWAQAAA4AAAAAAAAAAQAgAAAAIgEAAGRycy9lMm9Eb2MueG1s&#10;UEsFBgAAAAAGAAYAWQEAAMcFAAAAAA==&#10;">
              <v:fill on="f" focussize="0,0"/>
              <v:stroke on="f" weight="0.5pt"/>
              <v:imagedata o:title=""/>
              <o:lock v:ext="edit" aspectratio="f"/>
              <v:textbox inset="0mm,0mm,0mm,0mm">
                <w:txbxContent>
                  <w:p w14:paraId="67CDF480">
                    <w:pPr>
                      <w:pStyle w:val="72"/>
                      <w:jc w:val="both"/>
                      <w:rPr>
                        <w:rFonts w:hint="eastAsia" w:ascii="黑体" w:hAnsi="黑体" w:eastAsia="黑体"/>
                      </w:rPr>
                    </w:pPr>
                    <w:r>
                      <w:rPr>
                        <w:rFonts w:hint="eastAsia" w:ascii="黑体" w:hAnsi="黑体" w:eastAsia="黑体"/>
                      </w:rPr>
                      <w:t>T/CAFFCI XX—2024</w:t>
                    </w:r>
                  </w:p>
                  <w:p w14:paraId="4CEC3E04">
                    <w:pPr>
                      <w:pStyle w:val="25"/>
                      <w:rPr>
                        <w:rFonts w:hint="eastAsia"/>
                      </w:rPr>
                    </w:pP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8B9C7">
    <w:pPr>
      <w:pStyle w:val="72"/>
      <w:jc w:val="both"/>
      <w:rPr>
        <w:rFonts w:hint="eastAsia" w:ascii="黑体" w:hAnsi="黑体" w:eastAsia="黑体"/>
      </w:rPr>
    </w:pPr>
    <w:r>
      <mc:AlternateContent>
        <mc:Choice Requires="wps">
          <w:drawing>
            <wp:anchor distT="0" distB="0" distL="114300" distR="114300" simplePos="0" relativeHeight="25167769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B638CC">
                          <w:pPr>
                            <w:pStyle w:val="72"/>
                            <w:jc w:val="both"/>
                            <w:rPr>
                              <w:rFonts w:hint="eastAsia" w:eastAsia="黑体"/>
                              <w:lang w:val="en-US" w:eastAsia="zh-CN"/>
                            </w:rPr>
                          </w:pPr>
                          <w:r>
                            <w:rPr>
                              <w:rFonts w:hint="eastAsia" w:ascii="黑体" w:hAnsi="黑体" w:eastAsia="黑体"/>
                            </w:rPr>
                            <w:t>T/CAFFCI XX—202</w:t>
                          </w:r>
                          <w:r>
                            <w:rPr>
                              <w:rFonts w:hint="eastAsia" w:ascii="黑体" w:hAnsi="黑体" w:eastAsia="黑体"/>
                              <w:lang w:val="en-US" w:eastAsia="zh-CN"/>
                            </w:rPr>
                            <w:t>5</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Q64M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Z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PQ64MtAgAAVwQAAA4AAAAAAAAAAQAgAAAAHwEAAGRycy9lMm9Eb2MueG1sUEsFBgAAAAAG&#10;AAYAWQEAAL4FAAAAAA==&#10;">
              <v:fill on="f" focussize="0,0"/>
              <v:stroke on="f" weight="0.5pt"/>
              <v:imagedata o:title=""/>
              <o:lock v:ext="edit" aspectratio="f"/>
              <v:textbox inset="0mm,0mm,0mm,0mm" style="mso-fit-shape-to-text:t;">
                <w:txbxContent>
                  <w:p w14:paraId="5DB638CC">
                    <w:pPr>
                      <w:pStyle w:val="72"/>
                      <w:jc w:val="both"/>
                      <w:rPr>
                        <w:rFonts w:hint="eastAsia" w:eastAsia="黑体"/>
                        <w:lang w:val="en-US" w:eastAsia="zh-CN"/>
                      </w:rPr>
                    </w:pPr>
                    <w:r>
                      <w:rPr>
                        <w:rFonts w:hint="eastAsia" w:ascii="黑体" w:hAnsi="黑体" w:eastAsia="黑体"/>
                      </w:rPr>
                      <w:t>T/CAFFCI XX—202</w:t>
                    </w:r>
                    <w:r>
                      <w:rPr>
                        <w:rFonts w:hint="eastAsia" w:ascii="黑体" w:hAnsi="黑体" w:eastAsia="黑体"/>
                        <w:lang w:val="en-US" w:eastAsia="zh-CN"/>
                      </w:rPr>
                      <w:t>5</w:t>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00785">
    <w:pPr>
      <w:pStyle w:val="116"/>
    </w:pPr>
    <w:r>
      <mc:AlternateContent>
        <mc:Choice Requires="wps">
          <w:drawing>
            <wp:anchor distT="0" distB="0" distL="114300" distR="114300" simplePos="0" relativeHeight="25167872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0B27DD">
                          <w:pPr>
                            <w:pStyle w:val="25"/>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duMM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o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uduMMtAgAAVwQAAA4AAAAAAAAAAQAgAAAAHwEAAGRycy9lMm9Eb2MueG1sUEsFBgAAAAAG&#10;AAYAWQEAAL4FAAAAAA==&#10;">
              <v:fill on="f" focussize="0,0"/>
              <v:stroke on="f" weight="0.5pt"/>
              <v:imagedata o:title=""/>
              <o:lock v:ext="edit" aspectratio="f"/>
              <v:textbox inset="0mm,0mm,0mm,0mm" style="mso-fit-shape-to-text:t;">
                <w:txbxContent>
                  <w:p w14:paraId="1A0B27DD">
                    <w:pPr>
                      <w:pStyle w:val="25"/>
                      <w:rPr>
                        <w:rFonts w:hint="eastAsia"/>
                      </w:rPr>
                    </w:pPr>
                  </w:p>
                </w:txbxContent>
              </v:textbox>
            </v:shape>
          </w:pict>
        </mc:Fallback>
      </mc:AlternateContent>
    </w:r>
    <w:r>
      <mc:AlternateContent>
        <mc:Choice Requires="wps">
          <w:drawing>
            <wp:anchor distT="0" distB="0" distL="114300" distR="114300" simplePos="0" relativeHeight="251676672" behindDoc="0" locked="0" layoutInCell="1" allowOverlap="1">
              <wp:simplePos x="0" y="0"/>
              <wp:positionH relativeFrom="margin">
                <wp:posOffset>0</wp:posOffset>
              </wp:positionH>
              <wp:positionV relativeFrom="paragraph">
                <wp:posOffset>0</wp:posOffset>
              </wp:positionV>
              <wp:extent cx="1443990" cy="17907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443990" cy="1790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559A15">
                          <w:pPr>
                            <w:pStyle w:val="72"/>
                            <w:jc w:val="both"/>
                            <w:rPr>
                              <w:rFonts w:hint="eastAsia" w:ascii="黑体" w:hAnsi="黑体" w:eastAsia="黑体"/>
                              <w:lang w:eastAsia="zh-CN"/>
                            </w:rPr>
                          </w:pPr>
                          <w:r>
                            <w:rPr>
                              <w:rFonts w:hint="eastAsia" w:ascii="黑体" w:hAnsi="黑体" w:eastAsia="黑体"/>
                            </w:rPr>
                            <w:t>T/CAFFCI XX—202</w:t>
                          </w:r>
                          <w:r>
                            <w:rPr>
                              <w:rFonts w:hint="eastAsia" w:ascii="黑体" w:hAnsi="黑体" w:eastAsia="黑体"/>
                              <w:lang w:val="en-US" w:eastAsia="zh-CN"/>
                            </w:rPr>
                            <w:t>5</w:t>
                          </w:r>
                        </w:p>
                        <w:p w14:paraId="20376555">
                          <w:pPr>
                            <w:pStyle w:val="25"/>
                            <w:rPr>
                              <w:rFonts w:hint="eastAsia"/>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0pt;margin-top:0pt;height:14.1pt;width:113.7pt;mso-position-horizontal-relative:margin;z-index:251676672;mso-width-relative:page;mso-height-relative:page;" filled="f" stroked="f" coordsize="21600,21600" o:gfxdata="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FHOKw0wAAAAQBAAAPAAAAAAAAAAEAIAAAACIAAABkcnMvZG93bnJldi54bWxQSwEC&#10;FAAUAAAACACHTuJAT3OtyzICAABYBAAADgAAAAAAAAABACAAAAAiAQAAZHJzL2Uyb0RvYy54bWxQ&#10;SwUGAAAAAAYABgBZAQAAxgUAAAAA&#10;">
              <v:fill on="f" focussize="0,0"/>
              <v:stroke on="f" weight="0.5pt"/>
              <v:imagedata o:title=""/>
              <o:lock v:ext="edit" aspectratio="f"/>
              <v:textbox inset="0mm,0mm,0mm,0mm">
                <w:txbxContent>
                  <w:p w14:paraId="59559A15">
                    <w:pPr>
                      <w:pStyle w:val="72"/>
                      <w:jc w:val="both"/>
                      <w:rPr>
                        <w:rFonts w:hint="eastAsia" w:ascii="黑体" w:hAnsi="黑体" w:eastAsia="黑体"/>
                        <w:lang w:eastAsia="zh-CN"/>
                      </w:rPr>
                    </w:pPr>
                    <w:r>
                      <w:rPr>
                        <w:rFonts w:hint="eastAsia" w:ascii="黑体" w:hAnsi="黑体" w:eastAsia="黑体"/>
                      </w:rPr>
                      <w:t>T/CAFFCI XX—202</w:t>
                    </w:r>
                    <w:r>
                      <w:rPr>
                        <w:rFonts w:hint="eastAsia" w:ascii="黑体" w:hAnsi="黑体" w:eastAsia="黑体"/>
                        <w:lang w:val="en-US" w:eastAsia="zh-CN"/>
                      </w:rPr>
                      <w:t>5</w:t>
                    </w:r>
                  </w:p>
                  <w:p w14:paraId="20376555">
                    <w:pPr>
                      <w:pStyle w:val="25"/>
                      <w:rPr>
                        <w:rFonts w:hint="eastAsia"/>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2B2153"/>
    <w:multiLevelType w:val="singleLevel"/>
    <w:tmpl w:val="CA2B2153"/>
    <w:lvl w:ilvl="0" w:tentative="0">
      <w:start w:val="1"/>
      <w:numFmt w:val="decimal"/>
      <w:lvlText w:val="%1）"/>
      <w:lvlJc w:val="left"/>
    </w:lvl>
  </w:abstractNum>
  <w:abstractNum w:abstractNumId="1">
    <w:nsid w:val="FE47D3B2"/>
    <w:multiLevelType w:val="singleLevel"/>
    <w:tmpl w:val="FE47D3B2"/>
    <w:lvl w:ilvl="0" w:tentative="0">
      <w:start w:val="1"/>
      <w:numFmt w:val="decimal"/>
      <w:lvlText w:val="%1）"/>
      <w:lvlJc w:val="left"/>
    </w:lvl>
  </w:abstractNum>
  <w:abstractNum w:abstractNumId="2">
    <w:nsid w:val="0AE367E9"/>
    <w:multiLevelType w:val="multilevel"/>
    <w:tmpl w:val="0AE367E9"/>
    <w:lvl w:ilvl="0" w:tentative="0">
      <w:start w:val="1"/>
      <w:numFmt w:val="none"/>
      <w:pStyle w:val="87"/>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AEE6734"/>
    <w:multiLevelType w:val="multilevel"/>
    <w:tmpl w:val="1AEE6734"/>
    <w:lvl w:ilvl="0" w:tentative="0">
      <w:start w:val="1"/>
      <w:numFmt w:val="none"/>
      <w:pStyle w:val="133"/>
      <w:suff w:val="nothing"/>
      <w:lvlText w:val="%1"/>
      <w:lvlJc w:val="left"/>
      <w:pPr>
        <w:ind w:left="0" w:firstLine="0"/>
      </w:pPr>
      <w:rPr>
        <w:rFonts w:hint="eastAsia"/>
      </w:rPr>
    </w:lvl>
    <w:lvl w:ilvl="1" w:tentative="0">
      <w:start w:val="1"/>
      <w:numFmt w:val="decimal"/>
      <w:pStyle w:val="125"/>
      <w:suff w:val="nothing"/>
      <w:lvlText w:val="%1%2　"/>
      <w:lvlJc w:val="left"/>
      <w:pPr>
        <w:ind w:left="0" w:firstLine="0"/>
      </w:pPr>
      <w:rPr>
        <w:rFonts w:hint="eastAsia" w:ascii="黑体" w:eastAsia="黑体"/>
        <w:b w:val="0"/>
        <w:i w:val="0"/>
        <w:sz w:val="21"/>
      </w:rPr>
    </w:lvl>
    <w:lvl w:ilvl="2" w:tentative="0">
      <w:start w:val="1"/>
      <w:numFmt w:val="decimal"/>
      <w:pStyle w:val="126"/>
      <w:suff w:val="nothing"/>
      <w:lvlText w:val="%1%2.%3　"/>
      <w:lvlJc w:val="left"/>
      <w:pPr>
        <w:ind w:left="142" w:firstLine="0"/>
      </w:pPr>
      <w:rPr>
        <w:rFonts w:hint="default" w:ascii="黑体" w:hAnsi="黑体" w:eastAsia="黑体" w:cs="黑体"/>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127"/>
      <w:suff w:val="nothing"/>
      <w:lvlText w:val="%1%2.%3.%4　"/>
      <w:lvlJc w:val="left"/>
      <w:pPr>
        <w:ind w:left="0" w:firstLine="0"/>
      </w:pPr>
      <w:rPr>
        <w:rFonts w:hint="eastAsia" w:ascii="黑体" w:eastAsia="黑体"/>
        <w:b w:val="0"/>
        <w:i w:val="0"/>
        <w:sz w:val="21"/>
      </w:rPr>
    </w:lvl>
    <w:lvl w:ilvl="4" w:tentative="0">
      <w:start w:val="1"/>
      <w:numFmt w:val="decimal"/>
      <w:pStyle w:val="134"/>
      <w:suff w:val="nothing"/>
      <w:lvlText w:val="%1%2.%3.%4.%5　"/>
      <w:lvlJc w:val="left"/>
      <w:pPr>
        <w:ind w:left="0" w:firstLine="0"/>
      </w:pPr>
      <w:rPr>
        <w:rFonts w:hint="eastAsia" w:ascii="黑体" w:eastAsia="黑体"/>
        <w:b w:val="0"/>
        <w:i w:val="0"/>
        <w:sz w:val="21"/>
      </w:rPr>
    </w:lvl>
    <w:lvl w:ilvl="5" w:tentative="0">
      <w:start w:val="1"/>
      <w:numFmt w:val="decimal"/>
      <w:pStyle w:val="135"/>
      <w:suff w:val="nothing"/>
      <w:lvlText w:val="%1%2.%3.%4.%5.%6　"/>
      <w:lvlJc w:val="left"/>
      <w:pPr>
        <w:ind w:left="0" w:firstLine="0"/>
      </w:pPr>
      <w:rPr>
        <w:rFonts w:hint="eastAsia" w:ascii="黑体" w:eastAsia="黑体"/>
        <w:b w:val="0"/>
        <w:i w:val="0"/>
        <w:sz w:val="21"/>
      </w:rPr>
    </w:lvl>
    <w:lvl w:ilvl="6" w:tentative="0">
      <w:start w:val="1"/>
      <w:numFmt w:val="decimal"/>
      <w:pStyle w:val="13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46806F7D"/>
    <w:multiLevelType w:val="multilevel"/>
    <w:tmpl w:val="46806F7D"/>
    <w:lvl w:ilvl="0" w:tentative="0">
      <w:start w:val="1"/>
      <w:numFmt w:val="none"/>
      <w:pStyle w:val="99"/>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6D22D8F"/>
    <w:multiLevelType w:val="multilevel"/>
    <w:tmpl w:val="46D22D8F"/>
    <w:lvl w:ilvl="0" w:tentative="0">
      <w:start w:val="1"/>
      <w:numFmt w:val="none"/>
      <w:pStyle w:val="80"/>
      <w:lvlText w:val="%1◆　"/>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96E4D7B"/>
    <w:multiLevelType w:val="multilevel"/>
    <w:tmpl w:val="496E4D7B"/>
    <w:lvl w:ilvl="0" w:tentative="0">
      <w:start w:val="1"/>
      <w:numFmt w:val="none"/>
      <w:pStyle w:val="85"/>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4F302902"/>
    <w:multiLevelType w:val="multilevel"/>
    <w:tmpl w:val="4F302902"/>
    <w:lvl w:ilvl="0" w:tentative="0">
      <w:start w:val="1"/>
      <w:numFmt w:val="none"/>
      <w:pStyle w:val="114"/>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57C2AF5"/>
    <w:multiLevelType w:val="multilevel"/>
    <w:tmpl w:val="557C2AF5"/>
    <w:lvl w:ilvl="0" w:tentative="0">
      <w:start w:val="1"/>
      <w:numFmt w:val="decimal"/>
      <w:pStyle w:val="82"/>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6350366A"/>
    <w:multiLevelType w:val="multilevel"/>
    <w:tmpl w:val="6350366A"/>
    <w:lvl w:ilvl="0" w:tentative="0">
      <w:start w:val="1"/>
      <w:numFmt w:val="none"/>
      <w:pStyle w:val="81"/>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646260FA"/>
    <w:multiLevelType w:val="multilevel"/>
    <w:tmpl w:val="646260FA"/>
    <w:lvl w:ilvl="0" w:tentative="0">
      <w:start w:val="1"/>
      <w:numFmt w:val="decimal"/>
      <w:pStyle w:val="107"/>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
    <w:nsid w:val="657D3FBC"/>
    <w:multiLevelType w:val="multilevel"/>
    <w:tmpl w:val="657D3FBC"/>
    <w:lvl w:ilvl="0" w:tentative="0">
      <w:start w:val="1"/>
      <w:numFmt w:val="upperLetter"/>
      <w:pStyle w:val="92"/>
      <w:suff w:val="nothing"/>
      <w:lvlText w:val="附　录　%1"/>
      <w:lvlJc w:val="left"/>
      <w:pPr>
        <w:ind w:left="0" w:firstLine="0"/>
      </w:pPr>
      <w:rPr>
        <w:rFonts w:hint="eastAsia" w:ascii="黑体" w:hAnsi="Times New Roman" w:eastAsia="黑体"/>
        <w:b w:val="0"/>
        <w:i w:val="0"/>
        <w:sz w:val="21"/>
      </w:rPr>
    </w:lvl>
    <w:lvl w:ilvl="1" w:tentative="0">
      <w:start w:val="1"/>
      <w:numFmt w:val="decimal"/>
      <w:pStyle w:val="68"/>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67"/>
      <w:suff w:val="nothing"/>
      <w:lvlText w:val="%1.%2.%3　"/>
      <w:lvlJc w:val="left"/>
      <w:pPr>
        <w:ind w:left="0" w:firstLine="0"/>
      </w:pPr>
      <w:rPr>
        <w:rFonts w:hint="eastAsia" w:ascii="黑体" w:hAnsi="Times New Roman" w:eastAsia="黑体"/>
        <w:b w:val="0"/>
        <w:i w:val="0"/>
        <w:sz w:val="21"/>
      </w:rPr>
    </w:lvl>
    <w:lvl w:ilvl="3" w:tentative="0">
      <w:start w:val="1"/>
      <w:numFmt w:val="decimal"/>
      <w:pStyle w:val="66"/>
      <w:suff w:val="nothing"/>
      <w:lvlText w:val="%1.%2.%3.%4　"/>
      <w:lvlJc w:val="left"/>
      <w:pPr>
        <w:ind w:left="0" w:firstLine="0"/>
      </w:pPr>
      <w:rPr>
        <w:rFonts w:hint="eastAsia" w:ascii="黑体" w:hAnsi="Times New Roman" w:eastAsia="黑体"/>
        <w:b w:val="0"/>
        <w:i w:val="0"/>
        <w:sz w:val="21"/>
      </w:rPr>
    </w:lvl>
    <w:lvl w:ilvl="4" w:tentative="0">
      <w:start w:val="1"/>
      <w:numFmt w:val="decimal"/>
      <w:pStyle w:val="70"/>
      <w:suff w:val="nothing"/>
      <w:lvlText w:val="%1.%2.%3.%4.%5　"/>
      <w:lvlJc w:val="left"/>
      <w:pPr>
        <w:ind w:left="0" w:firstLine="0"/>
      </w:pPr>
      <w:rPr>
        <w:rFonts w:hint="eastAsia" w:ascii="黑体" w:hAnsi="Times New Roman" w:eastAsia="黑体"/>
        <w:b w:val="0"/>
        <w:i w:val="0"/>
        <w:sz w:val="21"/>
      </w:rPr>
    </w:lvl>
    <w:lvl w:ilvl="5" w:tentative="0">
      <w:start w:val="1"/>
      <w:numFmt w:val="decimal"/>
      <w:pStyle w:val="69"/>
      <w:suff w:val="nothing"/>
      <w:lvlText w:val="%1.%2.%3.%4.%5.%6　"/>
      <w:lvlJc w:val="left"/>
      <w:pPr>
        <w:ind w:left="0" w:firstLine="0"/>
      </w:pPr>
      <w:rPr>
        <w:rFonts w:hint="eastAsia" w:ascii="黑体" w:hAnsi="Times New Roman" w:eastAsia="黑体"/>
        <w:b w:val="0"/>
        <w:i w:val="0"/>
        <w:sz w:val="21"/>
      </w:rPr>
    </w:lvl>
    <w:lvl w:ilvl="6" w:tentative="0">
      <w:start w:val="1"/>
      <w:numFmt w:val="decimal"/>
      <w:pStyle w:val="10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2">
    <w:nsid w:val="6CEA2025"/>
    <w:multiLevelType w:val="multilevel"/>
    <w:tmpl w:val="6CEA2025"/>
    <w:lvl w:ilvl="0" w:tentative="0">
      <w:start w:val="1"/>
      <w:numFmt w:val="none"/>
      <w:pStyle w:val="79"/>
      <w:suff w:val="nothing"/>
      <w:lvlText w:val="%1"/>
      <w:lvlJc w:val="left"/>
      <w:pPr>
        <w:ind w:left="0" w:firstLine="0"/>
      </w:pPr>
      <w:rPr>
        <w:rFonts w:hint="default" w:ascii="Times New Roman" w:hAnsi="Times New Roman"/>
        <w:b/>
        <w:i w:val="0"/>
        <w:sz w:val="21"/>
      </w:rPr>
    </w:lvl>
    <w:lvl w:ilvl="1" w:tentative="0">
      <w:start w:val="1"/>
      <w:numFmt w:val="decimal"/>
      <w:pStyle w:val="91"/>
      <w:suff w:val="nothing"/>
      <w:lvlText w:val="%1%2　"/>
      <w:lvlJc w:val="left"/>
      <w:pPr>
        <w:ind w:left="0" w:firstLine="0"/>
      </w:pPr>
      <w:rPr>
        <w:rFonts w:hint="eastAsia" w:ascii="黑体" w:hAnsi="Times New Roman" w:eastAsia="黑体"/>
        <w:b w:val="0"/>
        <w:i w:val="0"/>
        <w:sz w:val="21"/>
      </w:rPr>
    </w:lvl>
    <w:lvl w:ilvl="2" w:tentative="0">
      <w:start w:val="1"/>
      <w:numFmt w:val="decimal"/>
      <w:pStyle w:val="57"/>
      <w:suff w:val="nothing"/>
      <w:lvlText w:val="%1%2.%3　"/>
      <w:lvlJc w:val="left"/>
      <w:pPr>
        <w:ind w:left="0" w:firstLine="0"/>
      </w:pPr>
      <w:rPr>
        <w:rFonts w:hint="eastAsia" w:ascii="黑体" w:hAnsi="Times New Roman" w:eastAsia="黑体"/>
        <w:b w:val="0"/>
        <w:i w:val="0"/>
        <w:sz w:val="21"/>
      </w:rPr>
    </w:lvl>
    <w:lvl w:ilvl="3" w:tentative="0">
      <w:start w:val="1"/>
      <w:numFmt w:val="decimal"/>
      <w:pStyle w:val="62"/>
      <w:suff w:val="nothing"/>
      <w:lvlText w:val="%1%2.%3.%4　"/>
      <w:lvlJc w:val="left"/>
      <w:pPr>
        <w:ind w:left="0" w:firstLine="0"/>
      </w:pPr>
      <w:rPr>
        <w:rFonts w:hint="eastAsia" w:ascii="黑体" w:hAnsi="Times New Roman" w:eastAsia="黑体"/>
        <w:b w:val="0"/>
        <w:i w:val="0"/>
        <w:sz w:val="21"/>
      </w:rPr>
    </w:lvl>
    <w:lvl w:ilvl="4" w:tentative="0">
      <w:start w:val="1"/>
      <w:numFmt w:val="decimal"/>
      <w:pStyle w:val="65"/>
      <w:suff w:val="nothing"/>
      <w:lvlText w:val="%1%2.%3.%4.%5　"/>
      <w:lvlJc w:val="left"/>
      <w:pPr>
        <w:ind w:left="0" w:firstLine="0"/>
      </w:pPr>
      <w:rPr>
        <w:rFonts w:hint="eastAsia" w:ascii="黑体" w:hAnsi="Times New Roman" w:eastAsia="黑体"/>
        <w:b w:val="0"/>
        <w:i w:val="0"/>
        <w:sz w:val="21"/>
      </w:rPr>
    </w:lvl>
    <w:lvl w:ilvl="5" w:tentative="0">
      <w:start w:val="1"/>
      <w:numFmt w:val="decimal"/>
      <w:pStyle w:val="64"/>
      <w:suff w:val="nothing"/>
      <w:lvlText w:val="%1%2.%3.%4.%5.%6　"/>
      <w:lvlJc w:val="left"/>
      <w:pPr>
        <w:ind w:left="0" w:firstLine="0"/>
      </w:pPr>
      <w:rPr>
        <w:rFonts w:hint="eastAsia" w:ascii="黑体" w:hAnsi="Times New Roman" w:eastAsia="黑体"/>
        <w:b w:val="0"/>
        <w:i w:val="0"/>
        <w:sz w:val="21"/>
      </w:rPr>
    </w:lvl>
    <w:lvl w:ilvl="6" w:tentative="0">
      <w:start w:val="1"/>
      <w:numFmt w:val="decimal"/>
      <w:pStyle w:val="8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6DBF04F4"/>
    <w:multiLevelType w:val="multilevel"/>
    <w:tmpl w:val="6DBF04F4"/>
    <w:lvl w:ilvl="0" w:tentative="0">
      <w:start w:val="1"/>
      <w:numFmt w:val="none"/>
      <w:pStyle w:val="117"/>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70A64650"/>
    <w:multiLevelType w:val="singleLevel"/>
    <w:tmpl w:val="70A64650"/>
    <w:lvl w:ilvl="0" w:tentative="0">
      <w:start w:val="1"/>
      <w:numFmt w:val="decimal"/>
      <w:lvlText w:val="%1)"/>
      <w:lvlJc w:val="left"/>
    </w:lvl>
  </w:abstractNum>
  <w:abstractNum w:abstractNumId="15">
    <w:nsid w:val="76933334"/>
    <w:multiLevelType w:val="multilevel"/>
    <w:tmpl w:val="76933334"/>
    <w:lvl w:ilvl="0" w:tentative="0">
      <w:start w:val="1"/>
      <w:numFmt w:val="none"/>
      <w:pStyle w:val="86"/>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7CCE7FD0"/>
    <w:multiLevelType w:val="singleLevel"/>
    <w:tmpl w:val="7CCE7FD0"/>
    <w:lvl w:ilvl="0" w:tentative="0">
      <w:start w:val="1"/>
      <w:numFmt w:val="decimal"/>
      <w:lvlText w:val="%1）"/>
      <w:lvlJc w:val="left"/>
    </w:lvl>
  </w:abstractNum>
  <w:num w:numId="1">
    <w:abstractNumId w:val="12"/>
  </w:num>
  <w:num w:numId="2">
    <w:abstractNumId w:val="11"/>
  </w:num>
  <w:num w:numId="3">
    <w:abstractNumId w:val="5"/>
  </w:num>
  <w:num w:numId="4">
    <w:abstractNumId w:val="9"/>
  </w:num>
  <w:num w:numId="5">
    <w:abstractNumId w:val="8"/>
  </w:num>
  <w:num w:numId="6">
    <w:abstractNumId w:val="6"/>
  </w:num>
  <w:num w:numId="7">
    <w:abstractNumId w:val="15"/>
  </w:num>
  <w:num w:numId="8">
    <w:abstractNumId w:val="2"/>
  </w:num>
  <w:num w:numId="9">
    <w:abstractNumId w:val="4"/>
  </w:num>
  <w:num w:numId="10">
    <w:abstractNumId w:val="10"/>
  </w:num>
  <w:num w:numId="11">
    <w:abstractNumId w:val="7"/>
  </w:num>
  <w:num w:numId="12">
    <w:abstractNumId w:val="13"/>
  </w:num>
  <w:num w:numId="13">
    <w:abstractNumId w:val="3"/>
  </w:num>
  <w:num w:numId="14">
    <w:abstractNumId w:val="0"/>
  </w:num>
  <w:num w:numId="15">
    <w:abstractNumId w:val="14"/>
  </w:num>
  <w:num w:numId="16">
    <w:abstractNumId w:val="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420"/>
  <w:evenAndOddHeaders w:val="1"/>
  <w:drawingGridHorizontalSpacing w:val="105"/>
  <w:drawingGridVerticalSpacing w:val="159"/>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AyMzUwNjc1MjQzNzFU0lEKTi0uzszPAykwqgUAO2+2xiwAAAA="/>
    <w:docVar w:name="commondata" w:val="eyJoZGlkIjoiNDcxNDYyYmNmODg5N2Q0NGFmN2Y1ZTY0YjU1MDYxMjIifQ=="/>
  </w:docVars>
  <w:rsids>
    <w:rsidRoot w:val="00493CE6"/>
    <w:rsid w:val="0000299B"/>
    <w:rsid w:val="00004BA7"/>
    <w:rsid w:val="0000777F"/>
    <w:rsid w:val="000158B4"/>
    <w:rsid w:val="00016BB0"/>
    <w:rsid w:val="000212BD"/>
    <w:rsid w:val="0002161E"/>
    <w:rsid w:val="00021E57"/>
    <w:rsid w:val="000235F6"/>
    <w:rsid w:val="0003083E"/>
    <w:rsid w:val="00032950"/>
    <w:rsid w:val="000414FD"/>
    <w:rsid w:val="00043468"/>
    <w:rsid w:val="000441D6"/>
    <w:rsid w:val="000454DC"/>
    <w:rsid w:val="0005160C"/>
    <w:rsid w:val="00053185"/>
    <w:rsid w:val="00053FF8"/>
    <w:rsid w:val="00057614"/>
    <w:rsid w:val="000734E5"/>
    <w:rsid w:val="00073CF5"/>
    <w:rsid w:val="000748B1"/>
    <w:rsid w:val="00077063"/>
    <w:rsid w:val="00082025"/>
    <w:rsid w:val="00083A5B"/>
    <w:rsid w:val="00091A63"/>
    <w:rsid w:val="00097D6A"/>
    <w:rsid w:val="000A0722"/>
    <w:rsid w:val="000A485E"/>
    <w:rsid w:val="000A4F85"/>
    <w:rsid w:val="000A5D54"/>
    <w:rsid w:val="000A5DED"/>
    <w:rsid w:val="000A7BB9"/>
    <w:rsid w:val="000B6EA7"/>
    <w:rsid w:val="000C0117"/>
    <w:rsid w:val="000C07F3"/>
    <w:rsid w:val="000C0D66"/>
    <w:rsid w:val="000C1C02"/>
    <w:rsid w:val="000C2609"/>
    <w:rsid w:val="000C2BF9"/>
    <w:rsid w:val="000C4797"/>
    <w:rsid w:val="000C4D12"/>
    <w:rsid w:val="000C5A16"/>
    <w:rsid w:val="000C67E7"/>
    <w:rsid w:val="000C6906"/>
    <w:rsid w:val="000C6EEE"/>
    <w:rsid w:val="000C7385"/>
    <w:rsid w:val="000D0AB9"/>
    <w:rsid w:val="000D498E"/>
    <w:rsid w:val="000D57F7"/>
    <w:rsid w:val="000E2EFA"/>
    <w:rsid w:val="000E300F"/>
    <w:rsid w:val="000E4180"/>
    <w:rsid w:val="000E4AC7"/>
    <w:rsid w:val="000E4E46"/>
    <w:rsid w:val="000E58B2"/>
    <w:rsid w:val="000E79EA"/>
    <w:rsid w:val="000F0121"/>
    <w:rsid w:val="000F089D"/>
    <w:rsid w:val="000F2388"/>
    <w:rsid w:val="000F4A10"/>
    <w:rsid w:val="000F5C77"/>
    <w:rsid w:val="000F66FF"/>
    <w:rsid w:val="000F7132"/>
    <w:rsid w:val="000F7F00"/>
    <w:rsid w:val="00102971"/>
    <w:rsid w:val="00103205"/>
    <w:rsid w:val="00103950"/>
    <w:rsid w:val="001070D1"/>
    <w:rsid w:val="001163FB"/>
    <w:rsid w:val="001177F4"/>
    <w:rsid w:val="001201EE"/>
    <w:rsid w:val="00120619"/>
    <w:rsid w:val="0012254C"/>
    <w:rsid w:val="00126829"/>
    <w:rsid w:val="001278D2"/>
    <w:rsid w:val="00130CB0"/>
    <w:rsid w:val="00131316"/>
    <w:rsid w:val="001316EB"/>
    <w:rsid w:val="00135691"/>
    <w:rsid w:val="0014064F"/>
    <w:rsid w:val="00141325"/>
    <w:rsid w:val="00142D3D"/>
    <w:rsid w:val="001432DC"/>
    <w:rsid w:val="001441B3"/>
    <w:rsid w:val="00144F12"/>
    <w:rsid w:val="00145D28"/>
    <w:rsid w:val="001468FC"/>
    <w:rsid w:val="00154743"/>
    <w:rsid w:val="00156526"/>
    <w:rsid w:val="001571C2"/>
    <w:rsid w:val="00163FF1"/>
    <w:rsid w:val="00165481"/>
    <w:rsid w:val="00167A5F"/>
    <w:rsid w:val="001716E3"/>
    <w:rsid w:val="0018017E"/>
    <w:rsid w:val="00190A81"/>
    <w:rsid w:val="001920AD"/>
    <w:rsid w:val="001931D9"/>
    <w:rsid w:val="001937BE"/>
    <w:rsid w:val="001A081F"/>
    <w:rsid w:val="001A191C"/>
    <w:rsid w:val="001A2C77"/>
    <w:rsid w:val="001A5CFA"/>
    <w:rsid w:val="001A6CB6"/>
    <w:rsid w:val="001A6E59"/>
    <w:rsid w:val="001C0050"/>
    <w:rsid w:val="001C3DF3"/>
    <w:rsid w:val="001C3E63"/>
    <w:rsid w:val="001C4B79"/>
    <w:rsid w:val="001C6325"/>
    <w:rsid w:val="001D7733"/>
    <w:rsid w:val="001E2E40"/>
    <w:rsid w:val="001E34F5"/>
    <w:rsid w:val="001E74DE"/>
    <w:rsid w:val="001F0B11"/>
    <w:rsid w:val="001F2755"/>
    <w:rsid w:val="001F4D6B"/>
    <w:rsid w:val="001F4E7A"/>
    <w:rsid w:val="001F72E7"/>
    <w:rsid w:val="00201641"/>
    <w:rsid w:val="00202A9E"/>
    <w:rsid w:val="002034E2"/>
    <w:rsid w:val="002049CD"/>
    <w:rsid w:val="00204C53"/>
    <w:rsid w:val="00206E70"/>
    <w:rsid w:val="002070F2"/>
    <w:rsid w:val="002110D8"/>
    <w:rsid w:val="002130D8"/>
    <w:rsid w:val="00217D78"/>
    <w:rsid w:val="00220880"/>
    <w:rsid w:val="00220C09"/>
    <w:rsid w:val="00221D2F"/>
    <w:rsid w:val="0022319B"/>
    <w:rsid w:val="00224777"/>
    <w:rsid w:val="00225B7C"/>
    <w:rsid w:val="00227C5E"/>
    <w:rsid w:val="00231974"/>
    <w:rsid w:val="0023476F"/>
    <w:rsid w:val="002364DC"/>
    <w:rsid w:val="00237A4F"/>
    <w:rsid w:val="00241A1D"/>
    <w:rsid w:val="00243D89"/>
    <w:rsid w:val="00252C87"/>
    <w:rsid w:val="00256B5D"/>
    <w:rsid w:val="00256C6A"/>
    <w:rsid w:val="0026383B"/>
    <w:rsid w:val="00266D3D"/>
    <w:rsid w:val="00271706"/>
    <w:rsid w:val="00271987"/>
    <w:rsid w:val="00274E24"/>
    <w:rsid w:val="00284318"/>
    <w:rsid w:val="00284D5F"/>
    <w:rsid w:val="00285DE0"/>
    <w:rsid w:val="00292F94"/>
    <w:rsid w:val="00293530"/>
    <w:rsid w:val="002940DC"/>
    <w:rsid w:val="002A1D89"/>
    <w:rsid w:val="002A49C4"/>
    <w:rsid w:val="002B4EEE"/>
    <w:rsid w:val="002B670E"/>
    <w:rsid w:val="002C4C60"/>
    <w:rsid w:val="002C509C"/>
    <w:rsid w:val="002C5538"/>
    <w:rsid w:val="002C7AA8"/>
    <w:rsid w:val="002D3849"/>
    <w:rsid w:val="002D3ADA"/>
    <w:rsid w:val="002D5DE6"/>
    <w:rsid w:val="002D6CB1"/>
    <w:rsid w:val="002E1A27"/>
    <w:rsid w:val="002E2C50"/>
    <w:rsid w:val="002F02EC"/>
    <w:rsid w:val="002F0B4C"/>
    <w:rsid w:val="002F2415"/>
    <w:rsid w:val="00300650"/>
    <w:rsid w:val="00300A3C"/>
    <w:rsid w:val="00301F91"/>
    <w:rsid w:val="00303C64"/>
    <w:rsid w:val="00310579"/>
    <w:rsid w:val="00316EC8"/>
    <w:rsid w:val="00317184"/>
    <w:rsid w:val="003172BD"/>
    <w:rsid w:val="00317E3A"/>
    <w:rsid w:val="003203A8"/>
    <w:rsid w:val="003230D8"/>
    <w:rsid w:val="00330AFD"/>
    <w:rsid w:val="003317C1"/>
    <w:rsid w:val="003320CF"/>
    <w:rsid w:val="0033215F"/>
    <w:rsid w:val="0033274D"/>
    <w:rsid w:val="00335CD8"/>
    <w:rsid w:val="0033627C"/>
    <w:rsid w:val="00340541"/>
    <w:rsid w:val="00340927"/>
    <w:rsid w:val="003445FF"/>
    <w:rsid w:val="00350F53"/>
    <w:rsid w:val="00354B72"/>
    <w:rsid w:val="00357692"/>
    <w:rsid w:val="00357CB8"/>
    <w:rsid w:val="0036360A"/>
    <w:rsid w:val="00363A5F"/>
    <w:rsid w:val="00366C59"/>
    <w:rsid w:val="00370EA7"/>
    <w:rsid w:val="00371E9F"/>
    <w:rsid w:val="003723A4"/>
    <w:rsid w:val="00373DE5"/>
    <w:rsid w:val="003756C9"/>
    <w:rsid w:val="00383DA9"/>
    <w:rsid w:val="00383DD1"/>
    <w:rsid w:val="00384C61"/>
    <w:rsid w:val="00385075"/>
    <w:rsid w:val="00385527"/>
    <w:rsid w:val="00387EEF"/>
    <w:rsid w:val="0039011A"/>
    <w:rsid w:val="00391D15"/>
    <w:rsid w:val="00394C64"/>
    <w:rsid w:val="003973E3"/>
    <w:rsid w:val="003A014B"/>
    <w:rsid w:val="003A030A"/>
    <w:rsid w:val="003A038C"/>
    <w:rsid w:val="003A5D39"/>
    <w:rsid w:val="003A5F2C"/>
    <w:rsid w:val="003A7DCC"/>
    <w:rsid w:val="003B53EA"/>
    <w:rsid w:val="003B58ED"/>
    <w:rsid w:val="003C2423"/>
    <w:rsid w:val="003C256D"/>
    <w:rsid w:val="003C6670"/>
    <w:rsid w:val="003D68A1"/>
    <w:rsid w:val="003E420D"/>
    <w:rsid w:val="003F0177"/>
    <w:rsid w:val="003F190F"/>
    <w:rsid w:val="003F6B19"/>
    <w:rsid w:val="003F7194"/>
    <w:rsid w:val="00401985"/>
    <w:rsid w:val="00402155"/>
    <w:rsid w:val="00413578"/>
    <w:rsid w:val="0042188C"/>
    <w:rsid w:val="00423912"/>
    <w:rsid w:val="00424562"/>
    <w:rsid w:val="0042460B"/>
    <w:rsid w:val="004304E0"/>
    <w:rsid w:val="0043356D"/>
    <w:rsid w:val="00433F98"/>
    <w:rsid w:val="00435220"/>
    <w:rsid w:val="0044189B"/>
    <w:rsid w:val="00442CFD"/>
    <w:rsid w:val="00443234"/>
    <w:rsid w:val="00443A22"/>
    <w:rsid w:val="00445A73"/>
    <w:rsid w:val="00451E8D"/>
    <w:rsid w:val="00453C03"/>
    <w:rsid w:val="004544DF"/>
    <w:rsid w:val="00461A81"/>
    <w:rsid w:val="00464B08"/>
    <w:rsid w:val="004650BA"/>
    <w:rsid w:val="00466F7C"/>
    <w:rsid w:val="0046720A"/>
    <w:rsid w:val="00467B3D"/>
    <w:rsid w:val="004709FD"/>
    <w:rsid w:val="004743C9"/>
    <w:rsid w:val="00474F2A"/>
    <w:rsid w:val="00475635"/>
    <w:rsid w:val="00486680"/>
    <w:rsid w:val="004911B6"/>
    <w:rsid w:val="004911D2"/>
    <w:rsid w:val="00491DD6"/>
    <w:rsid w:val="004934F5"/>
    <w:rsid w:val="00493CE6"/>
    <w:rsid w:val="004953AD"/>
    <w:rsid w:val="00496623"/>
    <w:rsid w:val="00496A1F"/>
    <w:rsid w:val="0049724B"/>
    <w:rsid w:val="004A2D20"/>
    <w:rsid w:val="004A3A03"/>
    <w:rsid w:val="004A3CDD"/>
    <w:rsid w:val="004A43AD"/>
    <w:rsid w:val="004A5147"/>
    <w:rsid w:val="004B0396"/>
    <w:rsid w:val="004B058B"/>
    <w:rsid w:val="004B19D2"/>
    <w:rsid w:val="004B501A"/>
    <w:rsid w:val="004C101E"/>
    <w:rsid w:val="004C1A01"/>
    <w:rsid w:val="004C26B9"/>
    <w:rsid w:val="004C2EF2"/>
    <w:rsid w:val="004C4230"/>
    <w:rsid w:val="004C50DB"/>
    <w:rsid w:val="004C62CD"/>
    <w:rsid w:val="004D1641"/>
    <w:rsid w:val="004D178C"/>
    <w:rsid w:val="004D3B16"/>
    <w:rsid w:val="004D5793"/>
    <w:rsid w:val="004D6B0B"/>
    <w:rsid w:val="004D6BAB"/>
    <w:rsid w:val="004E0C00"/>
    <w:rsid w:val="004F04D8"/>
    <w:rsid w:val="004F0754"/>
    <w:rsid w:val="004F3097"/>
    <w:rsid w:val="004F4083"/>
    <w:rsid w:val="004F4BC1"/>
    <w:rsid w:val="004F5609"/>
    <w:rsid w:val="004F7CF1"/>
    <w:rsid w:val="0050111A"/>
    <w:rsid w:val="005032DA"/>
    <w:rsid w:val="0050344F"/>
    <w:rsid w:val="00503B6E"/>
    <w:rsid w:val="005069E0"/>
    <w:rsid w:val="00507425"/>
    <w:rsid w:val="00507840"/>
    <w:rsid w:val="00507A95"/>
    <w:rsid w:val="005115EC"/>
    <w:rsid w:val="00516B81"/>
    <w:rsid w:val="0052056A"/>
    <w:rsid w:val="00521236"/>
    <w:rsid w:val="00521A73"/>
    <w:rsid w:val="00523241"/>
    <w:rsid w:val="005232E3"/>
    <w:rsid w:val="00526FF4"/>
    <w:rsid w:val="00532A10"/>
    <w:rsid w:val="00534AA6"/>
    <w:rsid w:val="00541E4E"/>
    <w:rsid w:val="005421FB"/>
    <w:rsid w:val="0054618F"/>
    <w:rsid w:val="0054619B"/>
    <w:rsid w:val="00546BA1"/>
    <w:rsid w:val="00546F58"/>
    <w:rsid w:val="00553145"/>
    <w:rsid w:val="00556364"/>
    <w:rsid w:val="00556DCC"/>
    <w:rsid w:val="00557775"/>
    <w:rsid w:val="00561DEF"/>
    <w:rsid w:val="00565A72"/>
    <w:rsid w:val="00566895"/>
    <w:rsid w:val="005713A8"/>
    <w:rsid w:val="00574580"/>
    <w:rsid w:val="005747CD"/>
    <w:rsid w:val="005749D4"/>
    <w:rsid w:val="00582F57"/>
    <w:rsid w:val="00585DC3"/>
    <w:rsid w:val="00587FAB"/>
    <w:rsid w:val="0059298D"/>
    <w:rsid w:val="00592D9A"/>
    <w:rsid w:val="005937FD"/>
    <w:rsid w:val="00595421"/>
    <w:rsid w:val="0059632F"/>
    <w:rsid w:val="00597798"/>
    <w:rsid w:val="005A1430"/>
    <w:rsid w:val="005A169C"/>
    <w:rsid w:val="005A3DEB"/>
    <w:rsid w:val="005A3DF9"/>
    <w:rsid w:val="005A4247"/>
    <w:rsid w:val="005A6FE8"/>
    <w:rsid w:val="005A7E63"/>
    <w:rsid w:val="005B0066"/>
    <w:rsid w:val="005B21BD"/>
    <w:rsid w:val="005B2EB0"/>
    <w:rsid w:val="005B73F6"/>
    <w:rsid w:val="005B7BC6"/>
    <w:rsid w:val="005C05CF"/>
    <w:rsid w:val="005C6905"/>
    <w:rsid w:val="005D20E8"/>
    <w:rsid w:val="005D4223"/>
    <w:rsid w:val="005D591B"/>
    <w:rsid w:val="005D5C86"/>
    <w:rsid w:val="005D6C4E"/>
    <w:rsid w:val="005D74D2"/>
    <w:rsid w:val="005E141B"/>
    <w:rsid w:val="005E2482"/>
    <w:rsid w:val="005E3D2D"/>
    <w:rsid w:val="005E5E08"/>
    <w:rsid w:val="005F00AB"/>
    <w:rsid w:val="005F0756"/>
    <w:rsid w:val="005F10B4"/>
    <w:rsid w:val="005F2D94"/>
    <w:rsid w:val="005F2E8C"/>
    <w:rsid w:val="005F77DB"/>
    <w:rsid w:val="00601D4B"/>
    <w:rsid w:val="00603987"/>
    <w:rsid w:val="0060426A"/>
    <w:rsid w:val="00612934"/>
    <w:rsid w:val="00616468"/>
    <w:rsid w:val="00621814"/>
    <w:rsid w:val="006232FC"/>
    <w:rsid w:val="0062512C"/>
    <w:rsid w:val="00627545"/>
    <w:rsid w:val="00630303"/>
    <w:rsid w:val="00632E9F"/>
    <w:rsid w:val="006372A1"/>
    <w:rsid w:val="00643992"/>
    <w:rsid w:val="00647B7E"/>
    <w:rsid w:val="00647F94"/>
    <w:rsid w:val="006501D8"/>
    <w:rsid w:val="00651A4A"/>
    <w:rsid w:val="006607C5"/>
    <w:rsid w:val="006706FE"/>
    <w:rsid w:val="00671022"/>
    <w:rsid w:val="0067738F"/>
    <w:rsid w:val="0067762A"/>
    <w:rsid w:val="0067772C"/>
    <w:rsid w:val="006813DB"/>
    <w:rsid w:val="00681E1F"/>
    <w:rsid w:val="006822A2"/>
    <w:rsid w:val="00684B1A"/>
    <w:rsid w:val="00684D3C"/>
    <w:rsid w:val="00686EF3"/>
    <w:rsid w:val="00693B60"/>
    <w:rsid w:val="006947FD"/>
    <w:rsid w:val="00694E9D"/>
    <w:rsid w:val="00695C58"/>
    <w:rsid w:val="00695E40"/>
    <w:rsid w:val="00695FDD"/>
    <w:rsid w:val="006A2B0B"/>
    <w:rsid w:val="006A5C96"/>
    <w:rsid w:val="006B28C1"/>
    <w:rsid w:val="006C03CC"/>
    <w:rsid w:val="006C2A17"/>
    <w:rsid w:val="006D032B"/>
    <w:rsid w:val="006D2047"/>
    <w:rsid w:val="006D32FE"/>
    <w:rsid w:val="006D451C"/>
    <w:rsid w:val="006D7B10"/>
    <w:rsid w:val="006E0537"/>
    <w:rsid w:val="006E28E3"/>
    <w:rsid w:val="006E48AF"/>
    <w:rsid w:val="006E5F87"/>
    <w:rsid w:val="006F12D9"/>
    <w:rsid w:val="006F4D91"/>
    <w:rsid w:val="006F5515"/>
    <w:rsid w:val="007019C3"/>
    <w:rsid w:val="00702434"/>
    <w:rsid w:val="00702458"/>
    <w:rsid w:val="0071054B"/>
    <w:rsid w:val="00710747"/>
    <w:rsid w:val="00710790"/>
    <w:rsid w:val="007133DA"/>
    <w:rsid w:val="0071597B"/>
    <w:rsid w:val="0072270F"/>
    <w:rsid w:val="00723358"/>
    <w:rsid w:val="00726CE0"/>
    <w:rsid w:val="00727D9A"/>
    <w:rsid w:val="007402EB"/>
    <w:rsid w:val="00740E71"/>
    <w:rsid w:val="00743A5A"/>
    <w:rsid w:val="0074437B"/>
    <w:rsid w:val="007452AB"/>
    <w:rsid w:val="0074603C"/>
    <w:rsid w:val="00747BF7"/>
    <w:rsid w:val="00750720"/>
    <w:rsid w:val="00751B50"/>
    <w:rsid w:val="007559CC"/>
    <w:rsid w:val="007579E8"/>
    <w:rsid w:val="0076033D"/>
    <w:rsid w:val="00760595"/>
    <w:rsid w:val="00761809"/>
    <w:rsid w:val="00764189"/>
    <w:rsid w:val="00764B8E"/>
    <w:rsid w:val="00764E59"/>
    <w:rsid w:val="00765532"/>
    <w:rsid w:val="0076583A"/>
    <w:rsid w:val="00770D3D"/>
    <w:rsid w:val="00771ACB"/>
    <w:rsid w:val="00781399"/>
    <w:rsid w:val="00784081"/>
    <w:rsid w:val="00784235"/>
    <w:rsid w:val="00791A6F"/>
    <w:rsid w:val="0079296D"/>
    <w:rsid w:val="00793997"/>
    <w:rsid w:val="00797029"/>
    <w:rsid w:val="00797848"/>
    <w:rsid w:val="007A15F5"/>
    <w:rsid w:val="007A3044"/>
    <w:rsid w:val="007A5CD6"/>
    <w:rsid w:val="007A5F66"/>
    <w:rsid w:val="007B16AC"/>
    <w:rsid w:val="007B216B"/>
    <w:rsid w:val="007B3E86"/>
    <w:rsid w:val="007B562C"/>
    <w:rsid w:val="007B79B8"/>
    <w:rsid w:val="007C0E7E"/>
    <w:rsid w:val="007C3786"/>
    <w:rsid w:val="007C65A7"/>
    <w:rsid w:val="007C6E41"/>
    <w:rsid w:val="007D08EE"/>
    <w:rsid w:val="007D099E"/>
    <w:rsid w:val="007D542E"/>
    <w:rsid w:val="007D5C35"/>
    <w:rsid w:val="007D7E4E"/>
    <w:rsid w:val="007E261F"/>
    <w:rsid w:val="007E291C"/>
    <w:rsid w:val="007E4474"/>
    <w:rsid w:val="007E4D78"/>
    <w:rsid w:val="007E5B2E"/>
    <w:rsid w:val="007F0052"/>
    <w:rsid w:val="007F06C1"/>
    <w:rsid w:val="007F0D15"/>
    <w:rsid w:val="007F15D8"/>
    <w:rsid w:val="008015EC"/>
    <w:rsid w:val="0080390B"/>
    <w:rsid w:val="00805B43"/>
    <w:rsid w:val="008061D0"/>
    <w:rsid w:val="00806AB9"/>
    <w:rsid w:val="008073A5"/>
    <w:rsid w:val="0081485B"/>
    <w:rsid w:val="00815009"/>
    <w:rsid w:val="00830BF5"/>
    <w:rsid w:val="008323D9"/>
    <w:rsid w:val="00834EE4"/>
    <w:rsid w:val="00835025"/>
    <w:rsid w:val="00835C7A"/>
    <w:rsid w:val="00836E4C"/>
    <w:rsid w:val="00841874"/>
    <w:rsid w:val="00841AB1"/>
    <w:rsid w:val="008459BA"/>
    <w:rsid w:val="008468D2"/>
    <w:rsid w:val="0085427B"/>
    <w:rsid w:val="008547A5"/>
    <w:rsid w:val="00854C74"/>
    <w:rsid w:val="00856584"/>
    <w:rsid w:val="00863E82"/>
    <w:rsid w:val="00863F9B"/>
    <w:rsid w:val="0086794D"/>
    <w:rsid w:val="00870033"/>
    <w:rsid w:val="00870C79"/>
    <w:rsid w:val="00873A6A"/>
    <w:rsid w:val="008821F0"/>
    <w:rsid w:val="008827A6"/>
    <w:rsid w:val="00883454"/>
    <w:rsid w:val="00886BE3"/>
    <w:rsid w:val="00890069"/>
    <w:rsid w:val="00890F13"/>
    <w:rsid w:val="00891645"/>
    <w:rsid w:val="008919F3"/>
    <w:rsid w:val="00892B09"/>
    <w:rsid w:val="008949D5"/>
    <w:rsid w:val="008951D8"/>
    <w:rsid w:val="00895DA3"/>
    <w:rsid w:val="008A033B"/>
    <w:rsid w:val="008A15E8"/>
    <w:rsid w:val="008A1999"/>
    <w:rsid w:val="008A3AE5"/>
    <w:rsid w:val="008A43E6"/>
    <w:rsid w:val="008A7C44"/>
    <w:rsid w:val="008B18C7"/>
    <w:rsid w:val="008B2767"/>
    <w:rsid w:val="008B39B1"/>
    <w:rsid w:val="008B52EA"/>
    <w:rsid w:val="008B666F"/>
    <w:rsid w:val="008C1542"/>
    <w:rsid w:val="008C2BD6"/>
    <w:rsid w:val="008C3EA6"/>
    <w:rsid w:val="008C6FDE"/>
    <w:rsid w:val="008D2EDE"/>
    <w:rsid w:val="008D32B8"/>
    <w:rsid w:val="008D76DD"/>
    <w:rsid w:val="008E0C20"/>
    <w:rsid w:val="008E1A9A"/>
    <w:rsid w:val="008E23A8"/>
    <w:rsid w:val="008E255C"/>
    <w:rsid w:val="008E2CBE"/>
    <w:rsid w:val="008E35B8"/>
    <w:rsid w:val="008E5DAF"/>
    <w:rsid w:val="008F31EF"/>
    <w:rsid w:val="008F3661"/>
    <w:rsid w:val="008F4583"/>
    <w:rsid w:val="008F6134"/>
    <w:rsid w:val="008F7319"/>
    <w:rsid w:val="00900F91"/>
    <w:rsid w:val="009011C7"/>
    <w:rsid w:val="009040C8"/>
    <w:rsid w:val="00906DF1"/>
    <w:rsid w:val="00914B26"/>
    <w:rsid w:val="00915F7D"/>
    <w:rsid w:val="00917C4B"/>
    <w:rsid w:val="00921793"/>
    <w:rsid w:val="009334BB"/>
    <w:rsid w:val="009364B9"/>
    <w:rsid w:val="00937DF4"/>
    <w:rsid w:val="00940445"/>
    <w:rsid w:val="00941B65"/>
    <w:rsid w:val="00942A8C"/>
    <w:rsid w:val="00951ECD"/>
    <w:rsid w:val="009530A6"/>
    <w:rsid w:val="009537D8"/>
    <w:rsid w:val="0095582C"/>
    <w:rsid w:val="00965A32"/>
    <w:rsid w:val="00966BE9"/>
    <w:rsid w:val="00970F36"/>
    <w:rsid w:val="00973F00"/>
    <w:rsid w:val="00975B70"/>
    <w:rsid w:val="00976609"/>
    <w:rsid w:val="00980360"/>
    <w:rsid w:val="009966CB"/>
    <w:rsid w:val="009A05D8"/>
    <w:rsid w:val="009A7A4F"/>
    <w:rsid w:val="009B0803"/>
    <w:rsid w:val="009B09FD"/>
    <w:rsid w:val="009B4314"/>
    <w:rsid w:val="009B4836"/>
    <w:rsid w:val="009B7721"/>
    <w:rsid w:val="009B7F43"/>
    <w:rsid w:val="009C3FE5"/>
    <w:rsid w:val="009D1F5A"/>
    <w:rsid w:val="009D2817"/>
    <w:rsid w:val="009D3FC8"/>
    <w:rsid w:val="009E12FD"/>
    <w:rsid w:val="009E3B3E"/>
    <w:rsid w:val="009E45E2"/>
    <w:rsid w:val="009E543B"/>
    <w:rsid w:val="009F44F0"/>
    <w:rsid w:val="00A04AB0"/>
    <w:rsid w:val="00A121FD"/>
    <w:rsid w:val="00A12F67"/>
    <w:rsid w:val="00A12FD2"/>
    <w:rsid w:val="00A13EB4"/>
    <w:rsid w:val="00A1602D"/>
    <w:rsid w:val="00A167FC"/>
    <w:rsid w:val="00A22984"/>
    <w:rsid w:val="00A24D67"/>
    <w:rsid w:val="00A2705E"/>
    <w:rsid w:val="00A2737E"/>
    <w:rsid w:val="00A27B9A"/>
    <w:rsid w:val="00A319C3"/>
    <w:rsid w:val="00A35EB8"/>
    <w:rsid w:val="00A37B53"/>
    <w:rsid w:val="00A404C3"/>
    <w:rsid w:val="00A42909"/>
    <w:rsid w:val="00A436F4"/>
    <w:rsid w:val="00A4399B"/>
    <w:rsid w:val="00A44EB0"/>
    <w:rsid w:val="00A46D12"/>
    <w:rsid w:val="00A54ED5"/>
    <w:rsid w:val="00A571B4"/>
    <w:rsid w:val="00A60A34"/>
    <w:rsid w:val="00A614A8"/>
    <w:rsid w:val="00A67870"/>
    <w:rsid w:val="00A706F7"/>
    <w:rsid w:val="00A728AA"/>
    <w:rsid w:val="00A82D04"/>
    <w:rsid w:val="00A82F08"/>
    <w:rsid w:val="00A84758"/>
    <w:rsid w:val="00A9103C"/>
    <w:rsid w:val="00A9328A"/>
    <w:rsid w:val="00A96720"/>
    <w:rsid w:val="00AA455B"/>
    <w:rsid w:val="00AA6FE8"/>
    <w:rsid w:val="00AA705E"/>
    <w:rsid w:val="00AB0364"/>
    <w:rsid w:val="00AB164F"/>
    <w:rsid w:val="00AB4A03"/>
    <w:rsid w:val="00AB5243"/>
    <w:rsid w:val="00AC47CB"/>
    <w:rsid w:val="00AC4F21"/>
    <w:rsid w:val="00AC5DA4"/>
    <w:rsid w:val="00AC7121"/>
    <w:rsid w:val="00AD031B"/>
    <w:rsid w:val="00AD1CD2"/>
    <w:rsid w:val="00AE1FF2"/>
    <w:rsid w:val="00AE4B81"/>
    <w:rsid w:val="00AF0770"/>
    <w:rsid w:val="00AF3948"/>
    <w:rsid w:val="00B00757"/>
    <w:rsid w:val="00B01D18"/>
    <w:rsid w:val="00B04BBA"/>
    <w:rsid w:val="00B06868"/>
    <w:rsid w:val="00B10F0F"/>
    <w:rsid w:val="00B11D40"/>
    <w:rsid w:val="00B13699"/>
    <w:rsid w:val="00B14A63"/>
    <w:rsid w:val="00B16F10"/>
    <w:rsid w:val="00B23E49"/>
    <w:rsid w:val="00B255D6"/>
    <w:rsid w:val="00B26622"/>
    <w:rsid w:val="00B27AC3"/>
    <w:rsid w:val="00B27EE2"/>
    <w:rsid w:val="00B32A22"/>
    <w:rsid w:val="00B37B93"/>
    <w:rsid w:val="00B51F4E"/>
    <w:rsid w:val="00B550BC"/>
    <w:rsid w:val="00B57D36"/>
    <w:rsid w:val="00B610D7"/>
    <w:rsid w:val="00B61F1A"/>
    <w:rsid w:val="00B6352D"/>
    <w:rsid w:val="00B63D09"/>
    <w:rsid w:val="00B6428B"/>
    <w:rsid w:val="00B64F8A"/>
    <w:rsid w:val="00B6533F"/>
    <w:rsid w:val="00B67B96"/>
    <w:rsid w:val="00B7053D"/>
    <w:rsid w:val="00B70DAF"/>
    <w:rsid w:val="00B7426C"/>
    <w:rsid w:val="00B7503F"/>
    <w:rsid w:val="00B7751B"/>
    <w:rsid w:val="00B85B0E"/>
    <w:rsid w:val="00B86769"/>
    <w:rsid w:val="00B95218"/>
    <w:rsid w:val="00B964CF"/>
    <w:rsid w:val="00BA16E6"/>
    <w:rsid w:val="00BA32D8"/>
    <w:rsid w:val="00BA4899"/>
    <w:rsid w:val="00BA5587"/>
    <w:rsid w:val="00BA7F4F"/>
    <w:rsid w:val="00BB0751"/>
    <w:rsid w:val="00BB1E84"/>
    <w:rsid w:val="00BB2E57"/>
    <w:rsid w:val="00BB600C"/>
    <w:rsid w:val="00BC0565"/>
    <w:rsid w:val="00BC088A"/>
    <w:rsid w:val="00BC3B04"/>
    <w:rsid w:val="00BC4116"/>
    <w:rsid w:val="00BC5D0F"/>
    <w:rsid w:val="00BD2148"/>
    <w:rsid w:val="00BD694F"/>
    <w:rsid w:val="00BE4B19"/>
    <w:rsid w:val="00BF0D48"/>
    <w:rsid w:val="00BF3A05"/>
    <w:rsid w:val="00BF3A14"/>
    <w:rsid w:val="00BF3B5E"/>
    <w:rsid w:val="00BF41FA"/>
    <w:rsid w:val="00BF49B3"/>
    <w:rsid w:val="00BF4E9D"/>
    <w:rsid w:val="00BF7259"/>
    <w:rsid w:val="00C02DAE"/>
    <w:rsid w:val="00C04062"/>
    <w:rsid w:val="00C04A08"/>
    <w:rsid w:val="00C1189F"/>
    <w:rsid w:val="00C12E06"/>
    <w:rsid w:val="00C136B9"/>
    <w:rsid w:val="00C13DAD"/>
    <w:rsid w:val="00C143F8"/>
    <w:rsid w:val="00C17DC2"/>
    <w:rsid w:val="00C17EE6"/>
    <w:rsid w:val="00C216F4"/>
    <w:rsid w:val="00C22C5D"/>
    <w:rsid w:val="00C24E4F"/>
    <w:rsid w:val="00C27F00"/>
    <w:rsid w:val="00C311EE"/>
    <w:rsid w:val="00C32216"/>
    <w:rsid w:val="00C35ED4"/>
    <w:rsid w:val="00C37848"/>
    <w:rsid w:val="00C41277"/>
    <w:rsid w:val="00C471D7"/>
    <w:rsid w:val="00C50741"/>
    <w:rsid w:val="00C518C5"/>
    <w:rsid w:val="00C52321"/>
    <w:rsid w:val="00C524DF"/>
    <w:rsid w:val="00C625AF"/>
    <w:rsid w:val="00C6267B"/>
    <w:rsid w:val="00C82EE9"/>
    <w:rsid w:val="00C83D15"/>
    <w:rsid w:val="00C84054"/>
    <w:rsid w:val="00C8779E"/>
    <w:rsid w:val="00C877C9"/>
    <w:rsid w:val="00C902DA"/>
    <w:rsid w:val="00C93E77"/>
    <w:rsid w:val="00C95329"/>
    <w:rsid w:val="00C96305"/>
    <w:rsid w:val="00CA05E5"/>
    <w:rsid w:val="00CA5D71"/>
    <w:rsid w:val="00CB230F"/>
    <w:rsid w:val="00CC1198"/>
    <w:rsid w:val="00CC48F0"/>
    <w:rsid w:val="00CC5A6E"/>
    <w:rsid w:val="00CC60EC"/>
    <w:rsid w:val="00CC74CE"/>
    <w:rsid w:val="00CD344C"/>
    <w:rsid w:val="00CD3A1B"/>
    <w:rsid w:val="00CD4BAA"/>
    <w:rsid w:val="00CD673B"/>
    <w:rsid w:val="00CD6802"/>
    <w:rsid w:val="00CE060B"/>
    <w:rsid w:val="00CE18DF"/>
    <w:rsid w:val="00CE1C06"/>
    <w:rsid w:val="00CE26DE"/>
    <w:rsid w:val="00CE580E"/>
    <w:rsid w:val="00CF0DF4"/>
    <w:rsid w:val="00CF4EA0"/>
    <w:rsid w:val="00CF5582"/>
    <w:rsid w:val="00CF62CE"/>
    <w:rsid w:val="00CF785D"/>
    <w:rsid w:val="00CF7FD0"/>
    <w:rsid w:val="00D02438"/>
    <w:rsid w:val="00D0377D"/>
    <w:rsid w:val="00D037DE"/>
    <w:rsid w:val="00D05EC0"/>
    <w:rsid w:val="00D105D8"/>
    <w:rsid w:val="00D10B15"/>
    <w:rsid w:val="00D11A32"/>
    <w:rsid w:val="00D14160"/>
    <w:rsid w:val="00D17D51"/>
    <w:rsid w:val="00D23540"/>
    <w:rsid w:val="00D27D43"/>
    <w:rsid w:val="00D308F3"/>
    <w:rsid w:val="00D30E8D"/>
    <w:rsid w:val="00D30F7A"/>
    <w:rsid w:val="00D311F3"/>
    <w:rsid w:val="00D3351C"/>
    <w:rsid w:val="00D40AAB"/>
    <w:rsid w:val="00D42DDC"/>
    <w:rsid w:val="00D45428"/>
    <w:rsid w:val="00D46DBE"/>
    <w:rsid w:val="00D50808"/>
    <w:rsid w:val="00D57725"/>
    <w:rsid w:val="00D57A60"/>
    <w:rsid w:val="00D61C34"/>
    <w:rsid w:val="00D62CF3"/>
    <w:rsid w:val="00D63635"/>
    <w:rsid w:val="00D64550"/>
    <w:rsid w:val="00D64F79"/>
    <w:rsid w:val="00D65C42"/>
    <w:rsid w:val="00D72888"/>
    <w:rsid w:val="00D74C10"/>
    <w:rsid w:val="00D76652"/>
    <w:rsid w:val="00D8271C"/>
    <w:rsid w:val="00D83E2A"/>
    <w:rsid w:val="00D84194"/>
    <w:rsid w:val="00D9196A"/>
    <w:rsid w:val="00D91F9B"/>
    <w:rsid w:val="00D95E4F"/>
    <w:rsid w:val="00DA7663"/>
    <w:rsid w:val="00DB1410"/>
    <w:rsid w:val="00DB14BD"/>
    <w:rsid w:val="00DB1A67"/>
    <w:rsid w:val="00DB1D87"/>
    <w:rsid w:val="00DB3857"/>
    <w:rsid w:val="00DB3D03"/>
    <w:rsid w:val="00DB5E3B"/>
    <w:rsid w:val="00DB6C12"/>
    <w:rsid w:val="00DC2236"/>
    <w:rsid w:val="00DD0D36"/>
    <w:rsid w:val="00DD4A98"/>
    <w:rsid w:val="00DD4EFD"/>
    <w:rsid w:val="00DE110F"/>
    <w:rsid w:val="00DE29EC"/>
    <w:rsid w:val="00DE31CC"/>
    <w:rsid w:val="00DE4F86"/>
    <w:rsid w:val="00DF32A5"/>
    <w:rsid w:val="00DF4DF5"/>
    <w:rsid w:val="00E0133A"/>
    <w:rsid w:val="00E017DD"/>
    <w:rsid w:val="00E03762"/>
    <w:rsid w:val="00E07BA9"/>
    <w:rsid w:val="00E1401D"/>
    <w:rsid w:val="00E1638D"/>
    <w:rsid w:val="00E16FE2"/>
    <w:rsid w:val="00E22FDC"/>
    <w:rsid w:val="00E240F0"/>
    <w:rsid w:val="00E24F1F"/>
    <w:rsid w:val="00E30CB9"/>
    <w:rsid w:val="00E323FE"/>
    <w:rsid w:val="00E35056"/>
    <w:rsid w:val="00E3654C"/>
    <w:rsid w:val="00E3666C"/>
    <w:rsid w:val="00E412AD"/>
    <w:rsid w:val="00E451F5"/>
    <w:rsid w:val="00E455B9"/>
    <w:rsid w:val="00E46A75"/>
    <w:rsid w:val="00E47026"/>
    <w:rsid w:val="00E512A7"/>
    <w:rsid w:val="00E52C82"/>
    <w:rsid w:val="00E55EB8"/>
    <w:rsid w:val="00E60BED"/>
    <w:rsid w:val="00E61B3F"/>
    <w:rsid w:val="00E625B6"/>
    <w:rsid w:val="00E67C87"/>
    <w:rsid w:val="00E7351E"/>
    <w:rsid w:val="00E76EDC"/>
    <w:rsid w:val="00E81631"/>
    <w:rsid w:val="00E843E3"/>
    <w:rsid w:val="00E85D4C"/>
    <w:rsid w:val="00E862ED"/>
    <w:rsid w:val="00E90E12"/>
    <w:rsid w:val="00E92EA0"/>
    <w:rsid w:val="00EA2124"/>
    <w:rsid w:val="00EA359C"/>
    <w:rsid w:val="00EA4151"/>
    <w:rsid w:val="00EA6524"/>
    <w:rsid w:val="00EA68F6"/>
    <w:rsid w:val="00EA6FEB"/>
    <w:rsid w:val="00EA755A"/>
    <w:rsid w:val="00EB3454"/>
    <w:rsid w:val="00EB41F0"/>
    <w:rsid w:val="00EC2595"/>
    <w:rsid w:val="00EC2BAF"/>
    <w:rsid w:val="00EC541D"/>
    <w:rsid w:val="00ED1466"/>
    <w:rsid w:val="00ED310E"/>
    <w:rsid w:val="00ED3178"/>
    <w:rsid w:val="00EE3150"/>
    <w:rsid w:val="00EE3511"/>
    <w:rsid w:val="00EE36A1"/>
    <w:rsid w:val="00EE4EA8"/>
    <w:rsid w:val="00EE55DE"/>
    <w:rsid w:val="00EE5A8B"/>
    <w:rsid w:val="00EE65FB"/>
    <w:rsid w:val="00EF6CDB"/>
    <w:rsid w:val="00F0114C"/>
    <w:rsid w:val="00F06D98"/>
    <w:rsid w:val="00F104EA"/>
    <w:rsid w:val="00F10B62"/>
    <w:rsid w:val="00F10D05"/>
    <w:rsid w:val="00F11740"/>
    <w:rsid w:val="00F12386"/>
    <w:rsid w:val="00F1307B"/>
    <w:rsid w:val="00F14FFC"/>
    <w:rsid w:val="00F15887"/>
    <w:rsid w:val="00F167B6"/>
    <w:rsid w:val="00F179C9"/>
    <w:rsid w:val="00F20C34"/>
    <w:rsid w:val="00F21031"/>
    <w:rsid w:val="00F21682"/>
    <w:rsid w:val="00F22C98"/>
    <w:rsid w:val="00F23500"/>
    <w:rsid w:val="00F2625F"/>
    <w:rsid w:val="00F272E5"/>
    <w:rsid w:val="00F27385"/>
    <w:rsid w:val="00F3094D"/>
    <w:rsid w:val="00F31DA3"/>
    <w:rsid w:val="00F332F2"/>
    <w:rsid w:val="00F36F0B"/>
    <w:rsid w:val="00F36FBB"/>
    <w:rsid w:val="00F37F7A"/>
    <w:rsid w:val="00F41894"/>
    <w:rsid w:val="00F420FE"/>
    <w:rsid w:val="00F43D25"/>
    <w:rsid w:val="00F440A4"/>
    <w:rsid w:val="00F52F24"/>
    <w:rsid w:val="00F53F5D"/>
    <w:rsid w:val="00F561F9"/>
    <w:rsid w:val="00F5655C"/>
    <w:rsid w:val="00F60CBF"/>
    <w:rsid w:val="00F6480B"/>
    <w:rsid w:val="00F67AF6"/>
    <w:rsid w:val="00F72143"/>
    <w:rsid w:val="00F72CAB"/>
    <w:rsid w:val="00F73BCB"/>
    <w:rsid w:val="00F73F7D"/>
    <w:rsid w:val="00F8037B"/>
    <w:rsid w:val="00F81873"/>
    <w:rsid w:val="00F8270C"/>
    <w:rsid w:val="00F84A5A"/>
    <w:rsid w:val="00F871C2"/>
    <w:rsid w:val="00F90553"/>
    <w:rsid w:val="00F924C6"/>
    <w:rsid w:val="00F9319B"/>
    <w:rsid w:val="00F93792"/>
    <w:rsid w:val="00F94917"/>
    <w:rsid w:val="00FA5F94"/>
    <w:rsid w:val="00FA796B"/>
    <w:rsid w:val="00FB0FEF"/>
    <w:rsid w:val="00FB7957"/>
    <w:rsid w:val="00FC4F74"/>
    <w:rsid w:val="00FC5158"/>
    <w:rsid w:val="00FC5505"/>
    <w:rsid w:val="00FD2375"/>
    <w:rsid w:val="00FD3BFA"/>
    <w:rsid w:val="00FD3C6F"/>
    <w:rsid w:val="00FD3D25"/>
    <w:rsid w:val="00FD5D7D"/>
    <w:rsid w:val="00FE065B"/>
    <w:rsid w:val="00FE1109"/>
    <w:rsid w:val="00FE3FC1"/>
    <w:rsid w:val="00FF3E23"/>
    <w:rsid w:val="0A947CC0"/>
    <w:rsid w:val="0B14713B"/>
    <w:rsid w:val="0BFD68DD"/>
    <w:rsid w:val="0D3112F1"/>
    <w:rsid w:val="0D633037"/>
    <w:rsid w:val="0F667FFF"/>
    <w:rsid w:val="105B522B"/>
    <w:rsid w:val="108304C6"/>
    <w:rsid w:val="11970266"/>
    <w:rsid w:val="11C568E0"/>
    <w:rsid w:val="13FF036F"/>
    <w:rsid w:val="14DF1D75"/>
    <w:rsid w:val="15C75E4B"/>
    <w:rsid w:val="191535C8"/>
    <w:rsid w:val="199C5983"/>
    <w:rsid w:val="1B9D3954"/>
    <w:rsid w:val="22981D27"/>
    <w:rsid w:val="23F627A8"/>
    <w:rsid w:val="25D21FA3"/>
    <w:rsid w:val="27D33AA2"/>
    <w:rsid w:val="2B1D765E"/>
    <w:rsid w:val="326D10E7"/>
    <w:rsid w:val="330E27E2"/>
    <w:rsid w:val="38B11505"/>
    <w:rsid w:val="3CEF1407"/>
    <w:rsid w:val="3D7D6D72"/>
    <w:rsid w:val="43610691"/>
    <w:rsid w:val="45420DD2"/>
    <w:rsid w:val="46831808"/>
    <w:rsid w:val="474977AA"/>
    <w:rsid w:val="48091309"/>
    <w:rsid w:val="481E3E48"/>
    <w:rsid w:val="48461085"/>
    <w:rsid w:val="49886893"/>
    <w:rsid w:val="498A48CD"/>
    <w:rsid w:val="4B094A33"/>
    <w:rsid w:val="4B532B4C"/>
    <w:rsid w:val="4C7F5A35"/>
    <w:rsid w:val="4E0A7B93"/>
    <w:rsid w:val="558E1FD1"/>
    <w:rsid w:val="56661BA2"/>
    <w:rsid w:val="58742766"/>
    <w:rsid w:val="5A042C61"/>
    <w:rsid w:val="5A3826C4"/>
    <w:rsid w:val="5C635007"/>
    <w:rsid w:val="60251BBC"/>
    <w:rsid w:val="62080E0C"/>
    <w:rsid w:val="63F04600"/>
    <w:rsid w:val="649E1424"/>
    <w:rsid w:val="64CB5063"/>
    <w:rsid w:val="66E64B1A"/>
    <w:rsid w:val="69E20CC7"/>
    <w:rsid w:val="6D724D2A"/>
    <w:rsid w:val="705862BA"/>
    <w:rsid w:val="706E7877"/>
    <w:rsid w:val="71136258"/>
    <w:rsid w:val="72CC78CE"/>
    <w:rsid w:val="75B94698"/>
    <w:rsid w:val="77A55D5B"/>
    <w:rsid w:val="782341B2"/>
    <w:rsid w:val="784A01D1"/>
    <w:rsid w:val="787F40FF"/>
    <w:rsid w:val="78CD557F"/>
    <w:rsid w:val="79DE0455"/>
    <w:rsid w:val="7BE24EE6"/>
    <w:rsid w:val="7BF370E1"/>
    <w:rsid w:val="7C6D4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宋体" w:cs="宋体"/>
      <w:kern w:val="2"/>
      <w:sz w:val="18"/>
      <w:szCs w:val="21"/>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autoRedefine/>
    <w:qFormat/>
    <w:uiPriority w:val="0"/>
    <w:pPr>
      <w:keepNext/>
      <w:keepLines/>
      <w:spacing w:before="280" w:after="290" w:line="376" w:lineRule="auto"/>
      <w:outlineLvl w:val="4"/>
    </w:pPr>
    <w:rPr>
      <w:b/>
      <w:bCs/>
      <w:sz w:val="28"/>
      <w:szCs w:val="28"/>
    </w:rPr>
  </w:style>
  <w:style w:type="paragraph" w:styleId="7">
    <w:name w:val="heading 6"/>
    <w:basedOn w:val="1"/>
    <w:next w:val="1"/>
    <w:autoRedefine/>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autoRedefine/>
    <w:qFormat/>
    <w:uiPriority w:val="0"/>
    <w:pPr>
      <w:keepNext/>
      <w:keepLines/>
      <w:spacing w:before="240" w:after="64" w:line="320" w:lineRule="auto"/>
      <w:outlineLvl w:val="6"/>
    </w:pPr>
    <w:rPr>
      <w:b/>
      <w:bCs/>
      <w:sz w:val="24"/>
    </w:rPr>
  </w:style>
  <w:style w:type="paragraph" w:styleId="9">
    <w:name w:val="heading 8"/>
    <w:basedOn w:val="1"/>
    <w:next w:val="1"/>
    <w:autoRedefine/>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autoRedefine/>
    <w:qFormat/>
    <w:uiPriority w:val="0"/>
    <w:pPr>
      <w:keepNext/>
      <w:keepLines/>
      <w:spacing w:before="240" w:after="64" w:line="320" w:lineRule="auto"/>
      <w:outlineLvl w:val="8"/>
    </w:pPr>
    <w:rPr>
      <w:rFonts w:ascii="Arial" w:hAnsi="Arial" w:eastAsia="黑体"/>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autoRedefine/>
    <w:semiHidden/>
    <w:qFormat/>
    <w:uiPriority w:val="0"/>
  </w:style>
  <w:style w:type="paragraph" w:styleId="12">
    <w:name w:val="toc 6"/>
    <w:basedOn w:val="13"/>
    <w:next w:val="1"/>
    <w:autoRedefine/>
    <w:semiHidden/>
    <w:qFormat/>
    <w:uiPriority w:val="0"/>
  </w:style>
  <w:style w:type="paragraph" w:styleId="13">
    <w:name w:val="toc 5"/>
    <w:basedOn w:val="14"/>
    <w:next w:val="1"/>
    <w:autoRedefine/>
    <w:semiHidden/>
    <w:qFormat/>
    <w:uiPriority w:val="0"/>
  </w:style>
  <w:style w:type="paragraph" w:styleId="14">
    <w:name w:val="toc 4"/>
    <w:basedOn w:val="15"/>
    <w:next w:val="1"/>
    <w:autoRedefine/>
    <w:semiHidden/>
    <w:qFormat/>
    <w:uiPriority w:val="0"/>
  </w:style>
  <w:style w:type="paragraph" w:styleId="15">
    <w:name w:val="toc 3"/>
    <w:basedOn w:val="16"/>
    <w:next w:val="1"/>
    <w:autoRedefine/>
    <w:semiHidden/>
    <w:qFormat/>
    <w:uiPriority w:val="0"/>
  </w:style>
  <w:style w:type="paragraph" w:styleId="16">
    <w:name w:val="toc 2"/>
    <w:basedOn w:val="17"/>
    <w:next w:val="1"/>
    <w:autoRedefine/>
    <w:semiHidden/>
    <w:qFormat/>
    <w:uiPriority w:val="0"/>
  </w:style>
  <w:style w:type="paragraph" w:styleId="17">
    <w:name w:val="toc 1"/>
    <w:basedOn w:val="1"/>
    <w:next w:val="1"/>
    <w:autoRedefine/>
    <w:semiHidden/>
    <w:qFormat/>
    <w:uiPriority w:val="0"/>
    <w:pPr>
      <w:jc w:val="both"/>
    </w:pPr>
    <w:rPr>
      <w:rFonts w:ascii="宋体" w:hAnsi="Times New Roman" w:eastAsia="宋体" w:cs="Times New Roman"/>
      <w:sz w:val="21"/>
      <w:lang w:val="en-US" w:eastAsia="zh-CN" w:bidi="ar-SA"/>
    </w:rPr>
  </w:style>
  <w:style w:type="paragraph" w:styleId="18">
    <w:name w:val="annotation text"/>
    <w:basedOn w:val="1"/>
    <w:link w:val="47"/>
    <w:autoRedefine/>
    <w:qFormat/>
    <w:uiPriority w:val="0"/>
    <w:pPr>
      <w:jc w:val="left"/>
    </w:pPr>
    <w:rPr>
      <w:rFonts w:ascii="Calibri" w:hAnsi="Calibri"/>
    </w:rPr>
  </w:style>
  <w:style w:type="paragraph" w:styleId="19">
    <w:name w:val="Body Text"/>
    <w:basedOn w:val="1"/>
    <w:link w:val="48"/>
    <w:autoRedefine/>
    <w:qFormat/>
    <w:uiPriority w:val="99"/>
    <w:pPr>
      <w:tabs>
        <w:tab w:val="left" w:pos="8280"/>
      </w:tabs>
    </w:pPr>
    <w:rPr>
      <w:kern w:val="0"/>
      <w:sz w:val="24"/>
    </w:rPr>
  </w:style>
  <w:style w:type="paragraph" w:styleId="20">
    <w:name w:val="HTML Address"/>
    <w:basedOn w:val="1"/>
    <w:autoRedefine/>
    <w:qFormat/>
    <w:uiPriority w:val="0"/>
    <w:rPr>
      <w:i/>
      <w:iCs/>
    </w:rPr>
  </w:style>
  <w:style w:type="paragraph" w:styleId="21">
    <w:name w:val="toc 8"/>
    <w:basedOn w:val="11"/>
    <w:next w:val="1"/>
    <w:autoRedefine/>
    <w:semiHidden/>
    <w:qFormat/>
    <w:uiPriority w:val="0"/>
  </w:style>
  <w:style w:type="paragraph" w:styleId="22">
    <w:name w:val="Date"/>
    <w:basedOn w:val="1"/>
    <w:next w:val="1"/>
    <w:link w:val="49"/>
    <w:autoRedefine/>
    <w:qFormat/>
    <w:uiPriority w:val="0"/>
    <w:pPr>
      <w:ind w:left="100" w:leftChars="2500"/>
    </w:pPr>
  </w:style>
  <w:style w:type="paragraph" w:styleId="23">
    <w:name w:val="Balloon Text"/>
    <w:basedOn w:val="1"/>
    <w:link w:val="50"/>
    <w:autoRedefine/>
    <w:qFormat/>
    <w:uiPriority w:val="0"/>
    <w:rPr>
      <w:szCs w:val="18"/>
    </w:rPr>
  </w:style>
  <w:style w:type="paragraph" w:styleId="24">
    <w:name w:val="footer"/>
    <w:basedOn w:val="1"/>
    <w:link w:val="51"/>
    <w:autoRedefine/>
    <w:qFormat/>
    <w:uiPriority w:val="99"/>
    <w:pPr>
      <w:tabs>
        <w:tab w:val="center" w:pos="4153"/>
        <w:tab w:val="right" w:pos="8306"/>
      </w:tabs>
      <w:snapToGrid w:val="0"/>
      <w:ind w:right="210" w:rightChars="100"/>
      <w:jc w:val="right"/>
    </w:pPr>
    <w:rPr>
      <w:szCs w:val="18"/>
    </w:rPr>
  </w:style>
  <w:style w:type="paragraph" w:styleId="25">
    <w:name w:val="header"/>
    <w:basedOn w:val="1"/>
    <w:link w:val="52"/>
    <w:autoRedefine/>
    <w:qFormat/>
    <w:uiPriority w:val="0"/>
    <w:pPr>
      <w:pBdr>
        <w:bottom w:val="single" w:color="auto" w:sz="6" w:space="1"/>
      </w:pBdr>
      <w:tabs>
        <w:tab w:val="center" w:pos="4153"/>
        <w:tab w:val="right" w:pos="8306"/>
      </w:tabs>
      <w:snapToGrid w:val="0"/>
      <w:jc w:val="center"/>
    </w:pPr>
    <w:rPr>
      <w:szCs w:val="18"/>
    </w:rPr>
  </w:style>
  <w:style w:type="paragraph" w:styleId="26">
    <w:name w:val="footnote text"/>
    <w:basedOn w:val="1"/>
    <w:autoRedefine/>
    <w:semiHidden/>
    <w:qFormat/>
    <w:uiPriority w:val="0"/>
    <w:pPr>
      <w:snapToGrid w:val="0"/>
      <w:jc w:val="left"/>
    </w:pPr>
    <w:rPr>
      <w:szCs w:val="18"/>
    </w:rPr>
  </w:style>
  <w:style w:type="paragraph" w:styleId="27">
    <w:name w:val="toc 9"/>
    <w:basedOn w:val="21"/>
    <w:next w:val="1"/>
    <w:autoRedefine/>
    <w:semiHidden/>
    <w:qFormat/>
    <w:uiPriority w:val="0"/>
  </w:style>
  <w:style w:type="paragraph" w:styleId="28">
    <w:name w:val="HTML Preformatted"/>
    <w:basedOn w:val="1"/>
    <w:autoRedefine/>
    <w:qFormat/>
    <w:uiPriority w:val="0"/>
    <w:rPr>
      <w:rFonts w:ascii="Courier New" w:hAnsi="Courier New" w:cs="Courier New"/>
      <w:sz w:val="20"/>
      <w:szCs w:val="20"/>
    </w:rPr>
  </w:style>
  <w:style w:type="paragraph" w:styleId="29">
    <w:name w:val="Title"/>
    <w:basedOn w:val="1"/>
    <w:autoRedefine/>
    <w:qFormat/>
    <w:uiPriority w:val="0"/>
    <w:pPr>
      <w:spacing w:before="240" w:after="60"/>
      <w:jc w:val="center"/>
      <w:outlineLvl w:val="0"/>
    </w:pPr>
    <w:rPr>
      <w:rFonts w:ascii="Arial" w:hAnsi="Arial" w:cs="Arial"/>
      <w:b/>
      <w:bCs/>
      <w:sz w:val="32"/>
      <w:szCs w:val="32"/>
    </w:rPr>
  </w:style>
  <w:style w:type="paragraph" w:styleId="30">
    <w:name w:val="annotation subject"/>
    <w:basedOn w:val="18"/>
    <w:next w:val="18"/>
    <w:link w:val="53"/>
    <w:autoRedefine/>
    <w:qFormat/>
    <w:uiPriority w:val="0"/>
    <w:rPr>
      <w:rFonts w:ascii="Times New Roman" w:hAnsi="Times New Roman"/>
      <w:b/>
      <w:bCs/>
    </w:rPr>
  </w:style>
  <w:style w:type="table" w:styleId="32">
    <w:name w:val="Table Grid"/>
    <w:basedOn w:val="31"/>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page number"/>
    <w:autoRedefine/>
    <w:qFormat/>
    <w:uiPriority w:val="99"/>
    <w:rPr>
      <w:rFonts w:ascii="Times New Roman" w:hAnsi="Times New Roman" w:eastAsia="宋体"/>
      <w:sz w:val="18"/>
    </w:rPr>
  </w:style>
  <w:style w:type="character" w:styleId="35">
    <w:name w:val="HTML Definition"/>
    <w:autoRedefine/>
    <w:qFormat/>
    <w:uiPriority w:val="0"/>
    <w:rPr>
      <w:i/>
      <w:iCs/>
    </w:rPr>
  </w:style>
  <w:style w:type="character" w:styleId="36">
    <w:name w:val="HTML Typewriter"/>
    <w:autoRedefine/>
    <w:qFormat/>
    <w:uiPriority w:val="0"/>
    <w:rPr>
      <w:rFonts w:ascii="Courier New" w:hAnsi="Courier New"/>
      <w:sz w:val="20"/>
      <w:szCs w:val="20"/>
    </w:rPr>
  </w:style>
  <w:style w:type="character" w:styleId="37">
    <w:name w:val="HTML Acronym"/>
    <w:autoRedefine/>
    <w:qFormat/>
    <w:uiPriority w:val="0"/>
  </w:style>
  <w:style w:type="character" w:styleId="38">
    <w:name w:val="HTML Variable"/>
    <w:autoRedefine/>
    <w:qFormat/>
    <w:uiPriority w:val="0"/>
    <w:rPr>
      <w:i/>
      <w:iCs/>
    </w:rPr>
  </w:style>
  <w:style w:type="character" w:styleId="39">
    <w:name w:val="Hyperlink"/>
    <w:autoRedefine/>
    <w:qFormat/>
    <w:uiPriority w:val="0"/>
    <w:rPr>
      <w:rFonts w:ascii="Times New Roman" w:hAnsi="Times New Roman" w:eastAsia="宋体"/>
      <w:color w:val="auto"/>
      <w:spacing w:val="0"/>
      <w:w w:val="100"/>
      <w:position w:val="0"/>
      <w:sz w:val="21"/>
      <w:u w:val="none"/>
      <w:vertAlign w:val="baseline"/>
    </w:rPr>
  </w:style>
  <w:style w:type="character" w:styleId="40">
    <w:name w:val="HTML Code"/>
    <w:autoRedefine/>
    <w:qFormat/>
    <w:uiPriority w:val="0"/>
    <w:rPr>
      <w:rFonts w:ascii="Courier New" w:hAnsi="Courier New"/>
      <w:sz w:val="20"/>
      <w:szCs w:val="20"/>
    </w:rPr>
  </w:style>
  <w:style w:type="character" w:styleId="41">
    <w:name w:val="annotation reference"/>
    <w:autoRedefine/>
    <w:qFormat/>
    <w:uiPriority w:val="0"/>
    <w:rPr>
      <w:sz w:val="21"/>
      <w:szCs w:val="21"/>
    </w:rPr>
  </w:style>
  <w:style w:type="character" w:styleId="42">
    <w:name w:val="HTML Cite"/>
    <w:autoRedefine/>
    <w:qFormat/>
    <w:uiPriority w:val="0"/>
    <w:rPr>
      <w:i/>
      <w:iCs/>
    </w:rPr>
  </w:style>
  <w:style w:type="character" w:styleId="43">
    <w:name w:val="footnote reference"/>
    <w:autoRedefine/>
    <w:semiHidden/>
    <w:qFormat/>
    <w:uiPriority w:val="0"/>
    <w:rPr>
      <w:vertAlign w:val="superscript"/>
    </w:rPr>
  </w:style>
  <w:style w:type="character" w:styleId="44">
    <w:name w:val="HTML Keyboard"/>
    <w:autoRedefine/>
    <w:qFormat/>
    <w:uiPriority w:val="0"/>
    <w:rPr>
      <w:rFonts w:ascii="Courier New" w:hAnsi="Courier New"/>
      <w:sz w:val="20"/>
      <w:szCs w:val="20"/>
    </w:rPr>
  </w:style>
  <w:style w:type="character" w:styleId="45">
    <w:name w:val="HTML Sample"/>
    <w:autoRedefine/>
    <w:qFormat/>
    <w:uiPriority w:val="0"/>
    <w:rPr>
      <w:rFonts w:ascii="Courier New" w:hAnsi="Courier New"/>
    </w:rPr>
  </w:style>
  <w:style w:type="paragraph" w:customStyle="1" w:styleId="46">
    <w:name w:val="4－正文LX"/>
    <w:next w:val="1"/>
    <w:autoRedefine/>
    <w:qFormat/>
    <w:uiPriority w:val="0"/>
    <w:pPr>
      <w:spacing w:line="300" w:lineRule="auto"/>
      <w:ind w:firstLine="200" w:firstLineChars="200"/>
    </w:pPr>
    <w:rPr>
      <w:rFonts w:ascii="Times New Roman" w:hAnsi="Times New Roman" w:eastAsia="宋体" w:cs="Times New Roman"/>
      <w:kern w:val="2"/>
      <w:sz w:val="24"/>
      <w:szCs w:val="24"/>
      <w:lang w:val="sv-SE" w:eastAsia="zh-CN" w:bidi="ar-SA"/>
    </w:rPr>
  </w:style>
  <w:style w:type="character" w:customStyle="1" w:styleId="47">
    <w:name w:val="批注文字 字符"/>
    <w:link w:val="18"/>
    <w:autoRedefine/>
    <w:qFormat/>
    <w:uiPriority w:val="0"/>
    <w:rPr>
      <w:rFonts w:ascii="Calibri" w:hAnsi="Calibri"/>
      <w:kern w:val="2"/>
      <w:sz w:val="21"/>
      <w:szCs w:val="24"/>
    </w:rPr>
  </w:style>
  <w:style w:type="character" w:customStyle="1" w:styleId="48">
    <w:name w:val="正文文本 字符"/>
    <w:link w:val="19"/>
    <w:autoRedefine/>
    <w:qFormat/>
    <w:uiPriority w:val="99"/>
    <w:rPr>
      <w:sz w:val="24"/>
      <w:szCs w:val="24"/>
    </w:rPr>
  </w:style>
  <w:style w:type="character" w:customStyle="1" w:styleId="49">
    <w:name w:val="日期 字符"/>
    <w:link w:val="22"/>
    <w:autoRedefine/>
    <w:qFormat/>
    <w:uiPriority w:val="0"/>
    <w:rPr>
      <w:kern w:val="2"/>
      <w:sz w:val="21"/>
      <w:szCs w:val="24"/>
    </w:rPr>
  </w:style>
  <w:style w:type="character" w:customStyle="1" w:styleId="50">
    <w:name w:val="批注框文本 字符"/>
    <w:link w:val="23"/>
    <w:autoRedefine/>
    <w:qFormat/>
    <w:uiPriority w:val="0"/>
    <w:rPr>
      <w:kern w:val="2"/>
      <w:sz w:val="18"/>
      <w:szCs w:val="18"/>
    </w:rPr>
  </w:style>
  <w:style w:type="character" w:customStyle="1" w:styleId="51">
    <w:name w:val="页脚 字符"/>
    <w:link w:val="24"/>
    <w:autoRedefine/>
    <w:qFormat/>
    <w:uiPriority w:val="99"/>
    <w:rPr>
      <w:kern w:val="2"/>
      <w:sz w:val="18"/>
      <w:szCs w:val="18"/>
    </w:rPr>
  </w:style>
  <w:style w:type="character" w:customStyle="1" w:styleId="52">
    <w:name w:val="页眉 字符"/>
    <w:link w:val="25"/>
    <w:autoRedefine/>
    <w:qFormat/>
    <w:uiPriority w:val="0"/>
    <w:rPr>
      <w:kern w:val="2"/>
      <w:sz w:val="18"/>
      <w:szCs w:val="18"/>
    </w:rPr>
  </w:style>
  <w:style w:type="character" w:customStyle="1" w:styleId="53">
    <w:name w:val="批注主题 字符"/>
    <w:link w:val="30"/>
    <w:autoRedefine/>
    <w:qFormat/>
    <w:uiPriority w:val="0"/>
    <w:rPr>
      <w:rFonts w:ascii="Calibri" w:hAnsi="Calibri"/>
      <w:b/>
      <w:bCs/>
      <w:kern w:val="2"/>
      <w:sz w:val="21"/>
      <w:szCs w:val="24"/>
    </w:rPr>
  </w:style>
  <w:style w:type="character" w:customStyle="1" w:styleId="54">
    <w:name w:val="个人答复风格"/>
    <w:autoRedefine/>
    <w:qFormat/>
    <w:uiPriority w:val="0"/>
    <w:rPr>
      <w:rFonts w:ascii="Arial" w:hAnsi="Arial" w:eastAsia="宋体" w:cs="Arial"/>
      <w:color w:val="auto"/>
      <w:sz w:val="20"/>
    </w:rPr>
  </w:style>
  <w:style w:type="character" w:customStyle="1" w:styleId="55">
    <w:name w:val="个人撰写风格"/>
    <w:autoRedefine/>
    <w:qFormat/>
    <w:uiPriority w:val="0"/>
    <w:rPr>
      <w:rFonts w:ascii="Arial" w:hAnsi="Arial" w:eastAsia="宋体" w:cs="Arial"/>
      <w:color w:val="auto"/>
      <w:sz w:val="20"/>
    </w:rPr>
  </w:style>
  <w:style w:type="character" w:customStyle="1" w:styleId="56">
    <w:name w:val="一级条标题 Char"/>
    <w:link w:val="57"/>
    <w:autoRedefine/>
    <w:qFormat/>
    <w:uiPriority w:val="0"/>
    <w:rPr>
      <w:rFonts w:eastAsia="黑体"/>
      <w:sz w:val="21"/>
    </w:rPr>
  </w:style>
  <w:style w:type="paragraph" w:customStyle="1" w:styleId="57">
    <w:name w:val="一级条标题"/>
    <w:next w:val="58"/>
    <w:link w:val="56"/>
    <w:autoRedefine/>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58">
    <w:name w:val="段"/>
    <w:link w:val="59"/>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9">
    <w:name w:val="段 Char"/>
    <w:link w:val="58"/>
    <w:autoRedefine/>
    <w:qFormat/>
    <w:uiPriority w:val="0"/>
    <w:rPr>
      <w:rFonts w:ascii="宋体"/>
      <w:sz w:val="21"/>
      <w:lang w:val="en-US" w:eastAsia="zh-CN" w:bidi="ar-SA"/>
    </w:rPr>
  </w:style>
  <w:style w:type="character" w:customStyle="1" w:styleId="60">
    <w:name w:val="未处理的提及1"/>
    <w:autoRedefine/>
    <w:unhideWhenUsed/>
    <w:qFormat/>
    <w:uiPriority w:val="99"/>
    <w:rPr>
      <w:color w:val="605E5C"/>
      <w:shd w:val="clear" w:color="auto" w:fill="E1DFDD"/>
    </w:rPr>
  </w:style>
  <w:style w:type="character" w:customStyle="1" w:styleId="61">
    <w:name w:val="二级条标题 Char"/>
    <w:link w:val="62"/>
    <w:autoRedefine/>
    <w:qFormat/>
    <w:uiPriority w:val="0"/>
  </w:style>
  <w:style w:type="paragraph" w:customStyle="1" w:styleId="62">
    <w:name w:val="二级条标题"/>
    <w:basedOn w:val="57"/>
    <w:next w:val="58"/>
    <w:link w:val="61"/>
    <w:autoRedefine/>
    <w:qFormat/>
    <w:uiPriority w:val="0"/>
    <w:pPr>
      <w:numPr>
        <w:ilvl w:val="3"/>
      </w:numPr>
      <w:outlineLvl w:val="3"/>
    </w:pPr>
  </w:style>
  <w:style w:type="character" w:customStyle="1" w:styleId="63">
    <w:name w:val="发布"/>
    <w:basedOn w:val="33"/>
    <w:autoRedefine/>
    <w:qFormat/>
    <w:uiPriority w:val="0"/>
    <w:rPr>
      <w:rFonts w:ascii="黑体" w:eastAsia="黑体"/>
      <w:spacing w:val="22"/>
      <w:w w:val="100"/>
      <w:position w:val="3"/>
      <w:sz w:val="28"/>
    </w:rPr>
  </w:style>
  <w:style w:type="paragraph" w:customStyle="1" w:styleId="64">
    <w:name w:val="四级条标题"/>
    <w:basedOn w:val="65"/>
    <w:next w:val="58"/>
    <w:autoRedefine/>
    <w:qFormat/>
    <w:uiPriority w:val="0"/>
    <w:pPr>
      <w:numPr>
        <w:ilvl w:val="5"/>
      </w:numPr>
      <w:outlineLvl w:val="5"/>
    </w:pPr>
  </w:style>
  <w:style w:type="paragraph" w:customStyle="1" w:styleId="65">
    <w:name w:val="三级条标题"/>
    <w:basedOn w:val="62"/>
    <w:next w:val="58"/>
    <w:autoRedefine/>
    <w:qFormat/>
    <w:uiPriority w:val="0"/>
    <w:pPr>
      <w:numPr>
        <w:ilvl w:val="4"/>
      </w:numPr>
      <w:outlineLvl w:val="4"/>
    </w:pPr>
  </w:style>
  <w:style w:type="paragraph" w:customStyle="1" w:styleId="66">
    <w:name w:val="附录二级条标题"/>
    <w:basedOn w:val="67"/>
    <w:next w:val="58"/>
    <w:autoRedefine/>
    <w:qFormat/>
    <w:uiPriority w:val="0"/>
    <w:pPr>
      <w:numPr>
        <w:ilvl w:val="3"/>
      </w:numPr>
      <w:outlineLvl w:val="3"/>
    </w:pPr>
  </w:style>
  <w:style w:type="paragraph" w:customStyle="1" w:styleId="67">
    <w:name w:val="附录一级条标题"/>
    <w:basedOn w:val="68"/>
    <w:next w:val="58"/>
    <w:autoRedefine/>
    <w:qFormat/>
    <w:uiPriority w:val="0"/>
    <w:pPr>
      <w:numPr>
        <w:ilvl w:val="2"/>
      </w:numPr>
      <w:autoSpaceDN w:val="0"/>
      <w:spacing w:before="0" w:beforeLines="0" w:after="0" w:afterLines="0"/>
      <w:outlineLvl w:val="2"/>
    </w:pPr>
  </w:style>
  <w:style w:type="paragraph" w:customStyle="1" w:styleId="68">
    <w:name w:val="附录章标题"/>
    <w:next w:val="58"/>
    <w:autoRedefine/>
    <w:qFormat/>
    <w:uiPriority w:val="0"/>
    <w:pPr>
      <w:numPr>
        <w:ilvl w:val="1"/>
        <w:numId w:val="2"/>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69">
    <w:name w:val="附录四级条标题"/>
    <w:basedOn w:val="70"/>
    <w:next w:val="58"/>
    <w:autoRedefine/>
    <w:qFormat/>
    <w:uiPriority w:val="0"/>
    <w:pPr>
      <w:numPr>
        <w:ilvl w:val="5"/>
      </w:numPr>
      <w:outlineLvl w:val="5"/>
    </w:pPr>
  </w:style>
  <w:style w:type="paragraph" w:customStyle="1" w:styleId="70">
    <w:name w:val="附录三级条标题"/>
    <w:basedOn w:val="66"/>
    <w:next w:val="58"/>
    <w:autoRedefine/>
    <w:qFormat/>
    <w:uiPriority w:val="0"/>
    <w:pPr>
      <w:numPr>
        <w:ilvl w:val="4"/>
      </w:numPr>
      <w:outlineLvl w:val="4"/>
    </w:pPr>
  </w:style>
  <w:style w:type="paragraph" w:customStyle="1" w:styleId="71">
    <w:name w:val="封面正文"/>
    <w:autoRedefine/>
    <w:qFormat/>
    <w:uiPriority w:val="99"/>
    <w:pPr>
      <w:jc w:val="both"/>
    </w:pPr>
    <w:rPr>
      <w:rFonts w:ascii="Times New Roman" w:hAnsi="Times New Roman" w:eastAsia="宋体" w:cs="Times New Roman"/>
      <w:lang w:val="en-US" w:eastAsia="zh-CN" w:bidi="ar-SA"/>
    </w:rPr>
  </w:style>
  <w:style w:type="paragraph" w:customStyle="1" w:styleId="72">
    <w:name w:val="标准书眉_奇数页"/>
    <w:next w:val="1"/>
    <w:autoRedefine/>
    <w:qFormat/>
    <w:uiPriority w:val="99"/>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3">
    <w:name w:val="正文公式编号制表符"/>
    <w:basedOn w:val="58"/>
    <w:next w:val="58"/>
    <w:autoRedefine/>
    <w:qFormat/>
    <w:uiPriority w:val="0"/>
    <w:pPr>
      <w:tabs>
        <w:tab w:val="center" w:pos="4201"/>
        <w:tab w:val="right" w:leader="dot" w:pos="9298"/>
      </w:tabs>
      <w:ind w:firstLine="0" w:firstLineChars="0"/>
    </w:pPr>
  </w:style>
  <w:style w:type="paragraph" w:customStyle="1" w:styleId="74">
    <w:name w:val="编号列项（三级）"/>
    <w:autoRedefine/>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75">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6">
    <w:name w:val="标准书眉一"/>
    <w:autoRedefine/>
    <w:qFormat/>
    <w:uiPriority w:val="99"/>
    <w:pPr>
      <w:jc w:val="both"/>
    </w:pPr>
    <w:rPr>
      <w:rFonts w:ascii="Times New Roman" w:hAnsi="Times New Roman" w:eastAsia="宋体" w:cs="Times New Roman"/>
      <w:lang w:val="en-US" w:eastAsia="zh-CN" w:bidi="ar-SA"/>
    </w:rPr>
  </w:style>
  <w:style w:type="paragraph" w:customStyle="1" w:styleId="77">
    <w:name w:val="标准表题"/>
    <w:basedOn w:val="1"/>
    <w:next w:val="58"/>
    <w:autoRedefine/>
    <w:qFormat/>
    <w:uiPriority w:val="0"/>
    <w:pPr>
      <w:widowControl/>
      <w:jc w:val="center"/>
    </w:pPr>
    <w:rPr>
      <w:rFonts w:ascii="黑体" w:eastAsia="黑体"/>
      <w:kern w:val="21"/>
    </w:rPr>
  </w:style>
  <w:style w:type="paragraph" w:customStyle="1" w:styleId="78">
    <w:name w:val="目次、标准名称标题"/>
    <w:basedOn w:val="79"/>
    <w:next w:val="58"/>
    <w:autoRedefine/>
    <w:qFormat/>
    <w:uiPriority w:val="0"/>
    <w:pPr>
      <w:numPr>
        <w:numId w:val="0"/>
      </w:numPr>
      <w:spacing w:line="460" w:lineRule="exact"/>
    </w:pPr>
  </w:style>
  <w:style w:type="paragraph" w:customStyle="1" w:styleId="79">
    <w:name w:val="前言、引言标题"/>
    <w:next w:val="1"/>
    <w:autoRedefine/>
    <w:qFormat/>
    <w:uiPriority w:val="99"/>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80">
    <w:name w:val="列项◆（三级）"/>
    <w:autoRedefine/>
    <w:qFormat/>
    <w:uiPriority w:val="0"/>
    <w:pPr>
      <w:numPr>
        <w:ilvl w:val="0"/>
        <w:numId w:val="3"/>
      </w:numPr>
      <w:ind w:left="800" w:leftChars="600" w:hanging="200" w:hangingChars="200"/>
    </w:pPr>
    <w:rPr>
      <w:rFonts w:ascii="宋体" w:hAnsi="Times New Roman" w:eastAsia="宋体" w:cs="Times New Roman"/>
      <w:sz w:val="21"/>
      <w:lang w:val="en-US" w:eastAsia="zh-CN" w:bidi="ar-SA"/>
    </w:rPr>
  </w:style>
  <w:style w:type="paragraph" w:customStyle="1" w:styleId="81">
    <w:name w:val="列项●（二级）"/>
    <w:autoRedefine/>
    <w:qFormat/>
    <w:uiPriority w:val="0"/>
    <w:pPr>
      <w:numPr>
        <w:ilvl w:val="0"/>
        <w:numId w:val="4"/>
      </w:num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82">
    <w:name w:val="正文图标题"/>
    <w:next w:val="58"/>
    <w:autoRedefine/>
    <w:qFormat/>
    <w:uiPriority w:val="0"/>
    <w:pPr>
      <w:numPr>
        <w:ilvl w:val="0"/>
        <w:numId w:val="5"/>
      </w:numPr>
      <w:jc w:val="center"/>
    </w:pPr>
    <w:rPr>
      <w:rFonts w:ascii="黑体" w:hAnsi="Times New Roman" w:eastAsia="黑体" w:cs="Times New Roman"/>
      <w:sz w:val="21"/>
      <w:lang w:val="en-US" w:eastAsia="zh-CN" w:bidi="ar-SA"/>
    </w:rPr>
  </w:style>
  <w:style w:type="paragraph" w:customStyle="1" w:styleId="83">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84">
    <w:name w:val="五级条标题"/>
    <w:basedOn w:val="64"/>
    <w:next w:val="58"/>
    <w:autoRedefine/>
    <w:qFormat/>
    <w:uiPriority w:val="0"/>
    <w:pPr>
      <w:numPr>
        <w:ilvl w:val="6"/>
      </w:numPr>
      <w:outlineLvl w:val="6"/>
    </w:pPr>
  </w:style>
  <w:style w:type="paragraph" w:customStyle="1" w:styleId="85">
    <w:name w:val="注×："/>
    <w:autoRedefine/>
    <w:qFormat/>
    <w:uiPriority w:val="0"/>
    <w:pPr>
      <w:widowControl w:val="0"/>
      <w:numPr>
        <w:ilvl w:val="0"/>
        <w:numId w:val="6"/>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86">
    <w:name w:val="列项——（一级）"/>
    <w:autoRedefine/>
    <w:qFormat/>
    <w:uiPriority w:val="0"/>
    <w:pPr>
      <w:widowControl w:val="0"/>
      <w:numPr>
        <w:ilvl w:val="0"/>
        <w:numId w:val="7"/>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87">
    <w:name w:val="示例"/>
    <w:next w:val="58"/>
    <w:autoRedefine/>
    <w:qFormat/>
    <w:uiPriority w:val="0"/>
    <w:pPr>
      <w:numPr>
        <w:ilvl w:val="0"/>
        <w:numId w:val="8"/>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88">
    <w:name w:val="参考文献、索引标题"/>
    <w:basedOn w:val="79"/>
    <w:next w:val="1"/>
    <w:autoRedefine/>
    <w:qFormat/>
    <w:uiPriority w:val="0"/>
    <w:pPr>
      <w:numPr>
        <w:numId w:val="0"/>
      </w:numPr>
      <w:spacing w:after="200"/>
    </w:pPr>
    <w:rPr>
      <w:sz w:val="21"/>
    </w:rPr>
  </w:style>
  <w:style w:type="paragraph" w:customStyle="1" w:styleId="89">
    <w:name w:val="其他标准称谓"/>
    <w:autoRedefine/>
    <w:qFormat/>
    <w:uiPriority w:val="99"/>
    <w:pPr>
      <w:spacing w:line="0" w:lineRule="atLeast"/>
      <w:jc w:val="distribute"/>
    </w:pPr>
    <w:rPr>
      <w:rFonts w:ascii="黑体" w:hAnsi="宋体" w:eastAsia="黑体" w:cs="Times New Roman"/>
      <w:sz w:val="52"/>
      <w:lang w:val="en-US" w:eastAsia="zh-CN" w:bidi="ar-SA"/>
    </w:rPr>
  </w:style>
  <w:style w:type="paragraph" w:customStyle="1" w:styleId="90">
    <w:name w:val="图表脚注"/>
    <w:next w:val="58"/>
    <w:autoRedefine/>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91">
    <w:name w:val="章标题"/>
    <w:next w:val="58"/>
    <w:autoRedefine/>
    <w:qFormat/>
    <w:uiPriority w:val="0"/>
    <w:pPr>
      <w:numPr>
        <w:ilvl w:val="1"/>
        <w:numId w:val="1"/>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92">
    <w:name w:val="附录标识"/>
    <w:basedOn w:val="79"/>
    <w:autoRedefine/>
    <w:qFormat/>
    <w:uiPriority w:val="0"/>
    <w:pPr>
      <w:numPr>
        <w:ilvl w:val="0"/>
        <w:numId w:val="2"/>
      </w:numPr>
      <w:tabs>
        <w:tab w:val="left" w:pos="6405"/>
      </w:tabs>
      <w:spacing w:after="200"/>
    </w:pPr>
    <w:rPr>
      <w:sz w:val="21"/>
    </w:rPr>
  </w:style>
  <w:style w:type="paragraph" w:customStyle="1" w:styleId="93">
    <w:name w:val="封面标准号2"/>
    <w:basedOn w:val="94"/>
    <w:autoRedefine/>
    <w:qFormat/>
    <w:uiPriority w:val="0"/>
    <w:pPr>
      <w:framePr w:w="9138" w:h="1244" w:hRule="exact" w:wrap="around" w:vAnchor="page" w:hAnchor="margin" w:y="2908"/>
      <w:adjustRightInd w:val="0"/>
      <w:spacing w:before="357" w:line="280" w:lineRule="exact"/>
    </w:pPr>
  </w:style>
  <w:style w:type="paragraph" w:customStyle="1" w:styleId="94">
    <w:name w:val="封面标准号1"/>
    <w:autoRedefine/>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5">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96">
    <w:name w:val="封面标准英文名称"/>
    <w:autoRedefine/>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97">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98">
    <w:name w:val="文献分类号"/>
    <w:autoRedefine/>
    <w:qFormat/>
    <w:uiPriority w:val="99"/>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99">
    <w:name w:val="附录图标题"/>
    <w:next w:val="58"/>
    <w:autoRedefine/>
    <w:qFormat/>
    <w:uiPriority w:val="0"/>
    <w:pPr>
      <w:numPr>
        <w:ilvl w:val="0"/>
        <w:numId w:val="9"/>
      </w:numPr>
      <w:jc w:val="center"/>
    </w:pPr>
    <w:rPr>
      <w:rFonts w:ascii="黑体" w:hAnsi="Times New Roman" w:eastAsia="黑体" w:cs="Times New Roman"/>
      <w:sz w:val="21"/>
      <w:lang w:val="en-US" w:eastAsia="zh-CN" w:bidi="ar-SA"/>
    </w:rPr>
  </w:style>
  <w:style w:type="paragraph" w:customStyle="1" w:styleId="100">
    <w:name w:val="条文脚注"/>
    <w:basedOn w:val="26"/>
    <w:autoRedefine/>
    <w:qFormat/>
    <w:uiPriority w:val="0"/>
    <w:pPr>
      <w:ind w:left="780" w:leftChars="200" w:hanging="360" w:hangingChars="200"/>
      <w:jc w:val="both"/>
    </w:pPr>
  </w:style>
  <w:style w:type="paragraph" w:customStyle="1" w:styleId="101">
    <w:name w:val="发布部门"/>
    <w:next w:val="58"/>
    <w:autoRedefine/>
    <w:qFormat/>
    <w:uiPriority w:val="99"/>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102">
    <w:name w:val="字母编号列项（一级）"/>
    <w:autoRedefine/>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03">
    <w:name w:val="标准书脚_偶数页"/>
    <w:autoRedefine/>
    <w:qFormat/>
    <w:uiPriority w:val="99"/>
    <w:pPr>
      <w:spacing w:before="120"/>
    </w:pPr>
    <w:rPr>
      <w:rFonts w:ascii="Times New Roman" w:hAnsi="Times New Roman" w:eastAsia="宋体" w:cs="Times New Roman"/>
      <w:sz w:val="18"/>
      <w:lang w:val="en-US" w:eastAsia="zh-CN" w:bidi="ar-SA"/>
    </w:rPr>
  </w:style>
  <w:style w:type="paragraph" w:customStyle="1" w:styleId="104">
    <w:name w:val="附录五级条标题"/>
    <w:basedOn w:val="69"/>
    <w:next w:val="58"/>
    <w:autoRedefine/>
    <w:qFormat/>
    <w:uiPriority w:val="0"/>
    <w:pPr>
      <w:numPr>
        <w:ilvl w:val="6"/>
      </w:numPr>
      <w:outlineLvl w:val="6"/>
    </w:pPr>
  </w:style>
  <w:style w:type="paragraph" w:customStyle="1" w:styleId="105">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06">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07">
    <w:name w:val="正文表标题"/>
    <w:next w:val="58"/>
    <w:autoRedefine/>
    <w:qFormat/>
    <w:uiPriority w:val="0"/>
    <w:pPr>
      <w:numPr>
        <w:ilvl w:val="0"/>
        <w:numId w:val="10"/>
      </w:numPr>
      <w:jc w:val="center"/>
    </w:pPr>
    <w:rPr>
      <w:rFonts w:ascii="黑体" w:hAnsi="Times New Roman" w:eastAsia="黑体" w:cs="Times New Roman"/>
      <w:sz w:val="21"/>
      <w:lang w:val="en-US" w:eastAsia="zh-CN" w:bidi="ar-SA"/>
    </w:rPr>
  </w:style>
  <w:style w:type="paragraph" w:customStyle="1" w:styleId="108">
    <w:name w:val="数字编号列项（二级）"/>
    <w:autoRedefine/>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09">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10">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11">
    <w:name w:val="其他发布部门"/>
    <w:basedOn w:val="101"/>
    <w:autoRedefine/>
    <w:qFormat/>
    <w:uiPriority w:val="0"/>
    <w:pPr>
      <w:framePr w:wrap="around"/>
      <w:spacing w:line="0" w:lineRule="atLeast"/>
    </w:pPr>
    <w:rPr>
      <w:rFonts w:ascii="黑体" w:eastAsia="黑体"/>
      <w:b w:val="0"/>
    </w:rPr>
  </w:style>
  <w:style w:type="paragraph" w:customStyle="1" w:styleId="112">
    <w:name w:val="封面标准代替信息"/>
    <w:basedOn w:val="93"/>
    <w:autoRedefine/>
    <w:qFormat/>
    <w:uiPriority w:val="0"/>
    <w:pPr>
      <w:framePr w:wrap="around"/>
      <w:spacing w:before="57"/>
    </w:pPr>
    <w:rPr>
      <w:rFonts w:ascii="宋体"/>
      <w:sz w:val="21"/>
    </w:rPr>
  </w:style>
  <w:style w:type="paragraph" w:customStyle="1" w:styleId="113">
    <w:name w:val="实施日期"/>
    <w:basedOn w:val="106"/>
    <w:autoRedefine/>
    <w:qFormat/>
    <w:uiPriority w:val="99"/>
    <w:pPr>
      <w:framePr w:hSpace="0" w:wrap="around" w:xAlign="right"/>
      <w:jc w:val="right"/>
    </w:pPr>
  </w:style>
  <w:style w:type="paragraph" w:customStyle="1" w:styleId="114">
    <w:name w:val="附录表标题"/>
    <w:next w:val="58"/>
    <w:autoRedefine/>
    <w:qFormat/>
    <w:uiPriority w:val="0"/>
    <w:pPr>
      <w:numPr>
        <w:ilvl w:val="0"/>
        <w:numId w:val="11"/>
      </w:numPr>
      <w:jc w:val="center"/>
      <w:textAlignment w:val="baseline"/>
    </w:pPr>
    <w:rPr>
      <w:rFonts w:ascii="黑体" w:hAnsi="Times New Roman" w:eastAsia="黑体" w:cs="Times New Roman"/>
      <w:kern w:val="21"/>
      <w:sz w:val="21"/>
      <w:lang w:val="en-US" w:eastAsia="zh-CN" w:bidi="ar-SA"/>
    </w:rPr>
  </w:style>
  <w:style w:type="paragraph" w:customStyle="1" w:styleId="115">
    <w:name w:val="标准书脚_奇数页"/>
    <w:autoRedefine/>
    <w:qFormat/>
    <w:uiPriority w:val="99"/>
    <w:pPr>
      <w:spacing w:before="120"/>
      <w:jc w:val="right"/>
    </w:pPr>
    <w:rPr>
      <w:rFonts w:ascii="Times New Roman" w:hAnsi="Times New Roman" w:eastAsia="宋体" w:cs="Times New Roman"/>
      <w:sz w:val="18"/>
      <w:lang w:val="en-US" w:eastAsia="zh-CN" w:bidi="ar-SA"/>
    </w:rPr>
  </w:style>
  <w:style w:type="paragraph" w:customStyle="1" w:styleId="116">
    <w:name w:val="标准书眉_偶数页"/>
    <w:basedOn w:val="72"/>
    <w:next w:val="1"/>
    <w:autoRedefine/>
    <w:qFormat/>
    <w:uiPriority w:val="99"/>
    <w:pPr>
      <w:jc w:val="left"/>
    </w:pPr>
  </w:style>
  <w:style w:type="paragraph" w:customStyle="1" w:styleId="117">
    <w:name w:val="注："/>
    <w:next w:val="58"/>
    <w:autoRedefine/>
    <w:qFormat/>
    <w:uiPriority w:val="0"/>
    <w:pPr>
      <w:widowControl w:val="0"/>
      <w:numPr>
        <w:ilvl w:val="0"/>
        <w:numId w:val="12"/>
      </w:numPr>
      <w:tabs>
        <w:tab w:val="clear" w:pos="1140"/>
      </w:tabs>
      <w:autoSpaceDE w:val="0"/>
      <w:autoSpaceDN w:val="0"/>
      <w:jc w:val="both"/>
    </w:pPr>
    <w:rPr>
      <w:rFonts w:ascii="宋体" w:hAnsi="Times New Roman" w:eastAsia="宋体" w:cs="Times New Roman"/>
      <w:sz w:val="18"/>
      <w:lang w:val="en-US" w:eastAsia="zh-CN" w:bidi="ar-SA"/>
    </w:rPr>
  </w:style>
  <w:style w:type="paragraph" w:styleId="118">
    <w:name w:val="List Paragraph"/>
    <w:basedOn w:val="1"/>
    <w:autoRedefine/>
    <w:qFormat/>
    <w:uiPriority w:val="99"/>
  </w:style>
  <w:style w:type="character" w:styleId="119">
    <w:name w:val="Placeholder Text"/>
    <w:basedOn w:val="33"/>
    <w:autoRedefine/>
    <w:unhideWhenUsed/>
    <w:qFormat/>
    <w:uiPriority w:val="99"/>
    <w:rPr>
      <w:color w:val="808080"/>
    </w:rPr>
  </w:style>
  <w:style w:type="paragraph" w:customStyle="1" w:styleId="120">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21">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22">
    <w:name w:val="修订3"/>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23">
    <w:name w:val="修订4"/>
    <w:hidden/>
    <w:unhideWhenUsed/>
    <w:qFormat/>
    <w:uiPriority w:val="99"/>
    <w:rPr>
      <w:rFonts w:ascii="宋体" w:hAnsi="宋体" w:eastAsia="宋体" w:cs="宋体"/>
      <w:kern w:val="2"/>
      <w:sz w:val="18"/>
      <w:szCs w:val="21"/>
      <w:lang w:val="en-US" w:eastAsia="zh-CN" w:bidi="ar-SA"/>
    </w:rPr>
  </w:style>
  <w:style w:type="paragraph" w:customStyle="1" w:styleId="124">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5">
    <w:name w:val="标准文件_章标题"/>
    <w:next w:val="124"/>
    <w:qFormat/>
    <w:uiPriority w:val="0"/>
    <w:pPr>
      <w:numPr>
        <w:ilvl w:val="1"/>
        <w:numId w:val="13"/>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26">
    <w:name w:val="标准文件_一级条标题"/>
    <w:basedOn w:val="125"/>
    <w:next w:val="124"/>
    <w:qFormat/>
    <w:uiPriority w:val="0"/>
    <w:pPr>
      <w:numPr>
        <w:ilvl w:val="2"/>
      </w:numPr>
      <w:spacing w:before="50" w:beforeLines="50" w:after="50" w:afterLines="50"/>
      <w:outlineLvl w:val="1"/>
    </w:pPr>
  </w:style>
  <w:style w:type="paragraph" w:customStyle="1" w:styleId="127">
    <w:name w:val="标准文件_二级条标题"/>
    <w:next w:val="124"/>
    <w:qFormat/>
    <w:uiPriority w:val="0"/>
    <w:pPr>
      <w:widowControl w:val="0"/>
      <w:numPr>
        <w:ilvl w:val="3"/>
        <w:numId w:val="13"/>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128">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129">
    <w:name w:val="标准文件_页眉偶数页"/>
    <w:basedOn w:val="128"/>
    <w:next w:val="1"/>
    <w:qFormat/>
    <w:uiPriority w:val="0"/>
    <w:pPr>
      <w:jc w:val="left"/>
    </w:pPr>
  </w:style>
  <w:style w:type="paragraph" w:customStyle="1" w:styleId="130">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13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132">
    <w:name w:val="Revision"/>
    <w:hidden/>
    <w:unhideWhenUsed/>
    <w:qFormat/>
    <w:uiPriority w:val="99"/>
    <w:rPr>
      <w:rFonts w:ascii="宋体" w:hAnsi="宋体" w:eastAsia="宋体" w:cs="宋体"/>
      <w:kern w:val="2"/>
      <w:sz w:val="18"/>
      <w:szCs w:val="21"/>
      <w:lang w:val="en-US" w:eastAsia="zh-CN" w:bidi="ar-SA"/>
    </w:rPr>
  </w:style>
  <w:style w:type="paragraph" w:customStyle="1" w:styleId="133">
    <w:name w:val="前言标题"/>
    <w:basedOn w:val="1"/>
    <w:qFormat/>
    <w:uiPriority w:val="0"/>
    <w:pPr>
      <w:numPr>
        <w:ilvl w:val="0"/>
        <w:numId w:val="13"/>
      </w:numPr>
    </w:pPr>
  </w:style>
  <w:style w:type="paragraph" w:customStyle="1" w:styleId="134">
    <w:name w:val="标准文件_三级条标题"/>
    <w:basedOn w:val="1"/>
    <w:qFormat/>
    <w:uiPriority w:val="0"/>
    <w:pPr>
      <w:numPr>
        <w:ilvl w:val="4"/>
        <w:numId w:val="13"/>
      </w:numPr>
    </w:pPr>
  </w:style>
  <w:style w:type="paragraph" w:customStyle="1" w:styleId="135">
    <w:name w:val="标准文件_四级条标题"/>
    <w:basedOn w:val="1"/>
    <w:qFormat/>
    <w:uiPriority w:val="0"/>
    <w:pPr>
      <w:numPr>
        <w:ilvl w:val="5"/>
        <w:numId w:val="13"/>
      </w:numPr>
    </w:pPr>
  </w:style>
  <w:style w:type="paragraph" w:customStyle="1" w:styleId="136">
    <w:name w:val="标准文件_五级条标题"/>
    <w:basedOn w:val="1"/>
    <w:qFormat/>
    <w:uiPriority w:val="0"/>
    <w:pPr>
      <w:numPr>
        <w:ilvl w:val="6"/>
        <w:numId w:val="13"/>
      </w:numPr>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7" Type="http://schemas.openxmlformats.org/officeDocument/2006/relationships/fontTable" Target="fontTable.xml"/><Relationship Id="rId36" Type="http://schemas.openxmlformats.org/officeDocument/2006/relationships/customXml" Target="../customXml/item2.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10.jpeg"/><Relationship Id="rId32" Type="http://schemas.openxmlformats.org/officeDocument/2006/relationships/image" Target="media/image9.wmf"/><Relationship Id="rId31" Type="http://schemas.openxmlformats.org/officeDocument/2006/relationships/oleObject" Target="embeddings/oleObject8.bin"/><Relationship Id="rId30" Type="http://schemas.openxmlformats.org/officeDocument/2006/relationships/image" Target="media/image8.wmf"/><Relationship Id="rId3" Type="http://schemas.openxmlformats.org/officeDocument/2006/relationships/header" Target="header1.xml"/><Relationship Id="rId29" Type="http://schemas.openxmlformats.org/officeDocument/2006/relationships/oleObject" Target="embeddings/oleObject7.bin"/><Relationship Id="rId28" Type="http://schemas.openxmlformats.org/officeDocument/2006/relationships/image" Target="media/image7.wmf"/><Relationship Id="rId27" Type="http://schemas.openxmlformats.org/officeDocument/2006/relationships/oleObject" Target="embeddings/oleObject6.bin"/><Relationship Id="rId26" Type="http://schemas.openxmlformats.org/officeDocument/2006/relationships/image" Target="media/image6.wmf"/><Relationship Id="rId25" Type="http://schemas.openxmlformats.org/officeDocument/2006/relationships/oleObject" Target="embeddings/oleObject5.bin"/><Relationship Id="rId24" Type="http://schemas.openxmlformats.org/officeDocument/2006/relationships/image" Target="media/image5.wmf"/><Relationship Id="rId23" Type="http://schemas.openxmlformats.org/officeDocument/2006/relationships/oleObject" Target="embeddings/oleObject4.bin"/><Relationship Id="rId22" Type="http://schemas.openxmlformats.org/officeDocument/2006/relationships/image" Target="media/image4.wmf"/><Relationship Id="rId21" Type="http://schemas.openxmlformats.org/officeDocument/2006/relationships/oleObject" Target="embeddings/oleObject3.bin"/><Relationship Id="rId20" Type="http://schemas.openxmlformats.org/officeDocument/2006/relationships/image" Target="media/image3.wmf"/><Relationship Id="rId2" Type="http://schemas.openxmlformats.org/officeDocument/2006/relationships/settings" Target="settings.xml"/><Relationship Id="rId19" Type="http://schemas.openxmlformats.org/officeDocument/2006/relationships/oleObject" Target="embeddings/oleObject2.bin"/><Relationship Id="rId18" Type="http://schemas.openxmlformats.org/officeDocument/2006/relationships/image" Target="media/image2.wmf"/><Relationship Id="rId17" Type="http://schemas.openxmlformats.org/officeDocument/2006/relationships/oleObject" Target="embeddings/oleObject1.bin"/><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2\tds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456231-1119-47A6-AF08-4D2991A891BC}">
  <ds:schemaRefs/>
</ds:datastoreItem>
</file>

<file path=docProps/app.xml><?xml version="1.0" encoding="utf-8"?>
<Properties xmlns="http://schemas.openxmlformats.org/officeDocument/2006/extended-properties" xmlns:vt="http://schemas.openxmlformats.org/officeDocument/2006/docPropsVTypes">
  <Template>tds2</Template>
  <Company>CNIS</Company>
  <Pages>12</Pages>
  <Words>5393</Words>
  <Characters>6199</Characters>
  <Lines>55</Lines>
  <Paragraphs>15</Paragraphs>
  <TotalTime>36</TotalTime>
  <ScaleCrop>false</ScaleCrop>
  <LinksUpToDate>false</LinksUpToDate>
  <CharactersWithSpaces>6495</CharactersWithSpaces>
  <Application>WPS Office_12.1.0.18196_F1E327BC-269C-435d-A152-05C5408002CA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2022-04-30T03:13:00Z</dcterms:created>
  <dc:creator>zhengying</dc:creator>
  <cp:lastModifiedBy>一颗草莓</cp:lastModifiedBy>
  <cp:lastPrinted>2021-03-16T07:04:00Z</cp:lastPrinted>
  <dcterms:modified xsi:type="dcterms:W3CDTF">2025-01-21T08:06:25Z</dcterms:modified>
  <dc:title> </dc:title>
  <cp:revision>343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2052-12.1.0.18196</vt:lpwstr>
  </property>
  <property fmtid="{D5CDD505-2E9C-101B-9397-08002B2CF9AE}" pid="4" name="ICV">
    <vt:lpwstr>B5F3ED9306504F829583EE6FC81630B7_13</vt:lpwstr>
  </property>
  <property fmtid="{D5CDD505-2E9C-101B-9397-08002B2CF9AE}" pid="5" name="KSOTemplateDocerSaveRecord">
    <vt:lpwstr>eyJoZGlkIjoiNjYxOTE0NzFmZmNjYTVjODY0NTJmNTMzMDJiMjMwOTkiLCJ1c2VySWQiOiIyNTQ1NzYyMzUifQ==</vt:lpwstr>
  </property>
</Properties>
</file>